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92804" w14:textId="493775EA" w:rsidR="006E3327" w:rsidRDefault="006E3327" w:rsidP="009D10D5">
      <w:pPr>
        <w:jc w:val="center"/>
        <w:rPr>
          <w:b/>
          <w:lang w:val="en-US"/>
        </w:rPr>
      </w:pPr>
      <w:bookmarkStart w:id="0" w:name="OLE_LINK1"/>
      <w:bookmarkStart w:id="1" w:name="OLE_LINK2"/>
      <w:bookmarkStart w:id="2" w:name="OLE_LINK3"/>
      <w:r>
        <w:rPr>
          <w:b/>
          <w:bCs/>
          <w:lang w:val="en-GB"/>
        </w:rPr>
        <w:t>CCQM-</w:t>
      </w:r>
      <w:r w:rsidR="005E3C63">
        <w:rPr>
          <w:b/>
          <w:bCs/>
          <w:lang w:val="en-US"/>
        </w:rPr>
        <w:t>K</w:t>
      </w:r>
      <w:bookmarkEnd w:id="0"/>
      <w:bookmarkEnd w:id="1"/>
      <w:bookmarkEnd w:id="2"/>
      <w:r w:rsidR="00211F6A">
        <w:rPr>
          <w:b/>
          <w:bCs/>
          <w:lang w:val="en-US"/>
        </w:rPr>
        <w:t xml:space="preserve"> ___</w:t>
      </w:r>
      <w:r w:rsidR="003B6BF7">
        <w:rPr>
          <w:b/>
          <w:bCs/>
          <w:lang w:val="en-GB"/>
        </w:rPr>
        <w:t>__</w:t>
      </w:r>
      <w:r w:rsidR="005E3C63">
        <w:rPr>
          <w:b/>
          <w:bCs/>
          <w:lang w:val="en-GB"/>
        </w:rPr>
        <w:t xml:space="preserve"> </w:t>
      </w:r>
    </w:p>
    <w:p w14:paraId="1AB10C87" w14:textId="77777777" w:rsidR="006E3327" w:rsidRDefault="006E3327" w:rsidP="009D10D5">
      <w:pPr>
        <w:jc w:val="center"/>
        <w:rPr>
          <w:b/>
          <w:lang w:val="en-US"/>
        </w:rPr>
      </w:pPr>
    </w:p>
    <w:p w14:paraId="741E34EC" w14:textId="5A615211" w:rsidR="00211F6A" w:rsidRPr="00830DA8" w:rsidRDefault="00211F6A" w:rsidP="00211F6A">
      <w:pPr>
        <w:jc w:val="center"/>
        <w:rPr>
          <w:sz w:val="32"/>
          <w:lang w:val="en-US"/>
        </w:rPr>
      </w:pPr>
      <w:r w:rsidRPr="00312565">
        <w:rPr>
          <w:b/>
          <w:bCs/>
          <w:sz w:val="28"/>
          <w:szCs w:val="28"/>
          <w:lang w:val="en-US"/>
        </w:rPr>
        <w:t xml:space="preserve">Measurement of Specific Adsorption A [mol/kg] of </w:t>
      </w:r>
      <w:proofErr w:type="spellStart"/>
      <w:r>
        <w:rPr>
          <w:b/>
          <w:bCs/>
          <w:sz w:val="28"/>
          <w:szCs w:val="28"/>
          <w:lang w:val="en-US"/>
        </w:rPr>
        <w:t>Ar</w:t>
      </w:r>
      <w:proofErr w:type="spellEnd"/>
      <w:r w:rsidRPr="00312565">
        <w:rPr>
          <w:b/>
          <w:bCs/>
          <w:sz w:val="28"/>
          <w:szCs w:val="28"/>
          <w:lang w:val="en-US"/>
        </w:rPr>
        <w:t xml:space="preserve"> on </w:t>
      </w:r>
      <w:r>
        <w:rPr>
          <w:b/>
          <w:bCs/>
          <w:sz w:val="28"/>
          <w:szCs w:val="28"/>
          <w:lang w:val="en-US"/>
        </w:rPr>
        <w:t>zeolite</w:t>
      </w:r>
      <w:r w:rsidRPr="00312565">
        <w:rPr>
          <w:b/>
          <w:bCs/>
          <w:sz w:val="28"/>
          <w:szCs w:val="28"/>
          <w:vertAlign w:val="subscript"/>
          <w:lang w:val="en-US"/>
        </w:rPr>
        <w:t xml:space="preserve"> </w:t>
      </w:r>
      <w:r w:rsidRPr="00312565">
        <w:rPr>
          <w:b/>
          <w:bCs/>
          <w:sz w:val="28"/>
          <w:szCs w:val="28"/>
          <w:lang w:val="en-US"/>
        </w:rPr>
        <w:t xml:space="preserve">at </w:t>
      </w:r>
      <w:r>
        <w:rPr>
          <w:b/>
          <w:bCs/>
          <w:sz w:val="28"/>
          <w:szCs w:val="28"/>
          <w:lang w:val="en-US"/>
        </w:rPr>
        <w:t>liquid argon</w:t>
      </w:r>
      <w:r w:rsidRPr="00312565">
        <w:rPr>
          <w:b/>
          <w:bCs/>
          <w:sz w:val="28"/>
          <w:szCs w:val="28"/>
          <w:lang w:val="en-US"/>
        </w:rPr>
        <w:t xml:space="preserve"> temperature (to enable a traceable determination of the Specific Surface</w:t>
      </w:r>
      <w:r w:rsidRPr="00DA19AE">
        <w:rPr>
          <w:b/>
          <w:bCs/>
          <w:sz w:val="28"/>
          <w:szCs w:val="28"/>
          <w:lang w:val="en-US"/>
        </w:rPr>
        <w:t xml:space="preserve"> </w:t>
      </w:r>
      <w:r>
        <w:rPr>
          <w:b/>
          <w:bCs/>
          <w:sz w:val="28"/>
          <w:szCs w:val="28"/>
          <w:lang w:val="en-US"/>
        </w:rPr>
        <w:t xml:space="preserve">Area by </w:t>
      </w:r>
      <w:r w:rsidRPr="00312565">
        <w:rPr>
          <w:b/>
          <w:bCs/>
          <w:sz w:val="28"/>
          <w:szCs w:val="28"/>
          <w:lang w:val="en-US"/>
        </w:rPr>
        <w:t>following ISO 9277)</w:t>
      </w:r>
    </w:p>
    <w:p w14:paraId="51CE584C" w14:textId="77777777" w:rsidR="00211F6A" w:rsidRDefault="00211F6A" w:rsidP="009D10D5">
      <w:pPr>
        <w:jc w:val="center"/>
        <w:rPr>
          <w:b/>
          <w:lang w:val="en-US"/>
        </w:rPr>
      </w:pPr>
    </w:p>
    <w:p w14:paraId="3955CAB4" w14:textId="77777777" w:rsidR="006E3327" w:rsidRDefault="006E3327" w:rsidP="009D10D5">
      <w:pPr>
        <w:pStyle w:val="1"/>
      </w:pPr>
      <w:r>
        <w:t>Technical protocol</w:t>
      </w:r>
    </w:p>
    <w:p w14:paraId="2B4E22F3" w14:textId="77777777" w:rsidR="006E3327" w:rsidRDefault="006E3327" w:rsidP="00B34BEA">
      <w:pPr>
        <w:rPr>
          <w:b/>
          <w:bCs/>
          <w:lang w:val="en-GB"/>
        </w:rPr>
      </w:pPr>
      <w:r>
        <w:rPr>
          <w:b/>
          <w:bCs/>
          <w:lang w:val="en-GB"/>
        </w:rPr>
        <w:t>1. Introduction</w:t>
      </w:r>
    </w:p>
    <w:p w14:paraId="6F9F89A9" w14:textId="15419729" w:rsidR="006E3327" w:rsidRPr="00DD2452" w:rsidRDefault="005E3C63" w:rsidP="00F84D8F">
      <w:pPr>
        <w:ind w:firstLine="720"/>
        <w:jc w:val="both"/>
        <w:rPr>
          <w:lang w:val="en-US"/>
        </w:rPr>
      </w:pPr>
      <w:bookmarkStart w:id="3" w:name="OLE_LINK107"/>
      <w:bookmarkStart w:id="4" w:name="OLE_LINK108"/>
      <w:bookmarkStart w:id="5" w:name="OLE_LINK109"/>
      <w:r>
        <w:rPr>
          <w:lang w:val="en-US"/>
        </w:rPr>
        <w:t xml:space="preserve">Specific </w:t>
      </w:r>
      <w:r w:rsidR="00211F6A">
        <w:rPr>
          <w:lang w:val="en-US"/>
        </w:rPr>
        <w:t>argon</w:t>
      </w:r>
      <w:r w:rsidR="00F84D8F" w:rsidRPr="00F84D8F">
        <w:rPr>
          <w:lang w:val="en-US"/>
        </w:rPr>
        <w:t xml:space="preserve"> </w:t>
      </w:r>
      <w:r>
        <w:rPr>
          <w:lang w:val="en-US"/>
        </w:rPr>
        <w:t>adsorption</w:t>
      </w:r>
      <w:r w:rsidR="00211F6A">
        <w:rPr>
          <w:lang w:val="en-US"/>
        </w:rPr>
        <w:t xml:space="preserve"> to enable</w:t>
      </w:r>
      <w:r w:rsidR="00211F6A" w:rsidRPr="00211F6A">
        <w:rPr>
          <w:b/>
          <w:bCs/>
          <w:sz w:val="28"/>
          <w:szCs w:val="28"/>
          <w:lang w:val="en-US"/>
        </w:rPr>
        <w:t xml:space="preserve"> </w:t>
      </w:r>
      <w:r w:rsidR="00211F6A" w:rsidRPr="00211F6A">
        <w:rPr>
          <w:lang w:val="en-US"/>
        </w:rPr>
        <w:t>a traceable determination of</w:t>
      </w:r>
      <w:r w:rsidR="00211F6A">
        <w:rPr>
          <w:lang w:val="en-US"/>
        </w:rPr>
        <w:t xml:space="preserve"> </w:t>
      </w:r>
      <w:r w:rsidR="00F759C3">
        <w:rPr>
          <w:lang w:val="en-US"/>
        </w:rPr>
        <w:t xml:space="preserve"> </w:t>
      </w:r>
      <w:r w:rsidR="00F759C3" w:rsidRPr="00B82F21">
        <w:rPr>
          <w:lang w:val="en-US"/>
        </w:rPr>
        <w:t xml:space="preserve">specific surface area, specific </w:t>
      </w:r>
      <w:r w:rsidR="00E22C1B">
        <w:rPr>
          <w:lang w:val="en-US"/>
        </w:rPr>
        <w:t xml:space="preserve">pore </w:t>
      </w:r>
      <w:r w:rsidR="00F759C3" w:rsidRPr="00B82F21">
        <w:rPr>
          <w:lang w:val="en-US"/>
        </w:rPr>
        <w:t xml:space="preserve">volume and pore diameter </w:t>
      </w:r>
      <w:bookmarkEnd w:id="3"/>
      <w:bookmarkEnd w:id="4"/>
      <w:bookmarkEnd w:id="5"/>
      <w:r w:rsidR="00F759C3" w:rsidRPr="00B82F21">
        <w:rPr>
          <w:lang w:val="en-US"/>
        </w:rPr>
        <w:t xml:space="preserve">in </w:t>
      </w:r>
      <w:r w:rsidR="00211F6A">
        <w:rPr>
          <w:lang w:val="en-US"/>
        </w:rPr>
        <w:t>micro</w:t>
      </w:r>
      <w:r w:rsidR="00F84D8F" w:rsidRPr="00B82F21">
        <w:rPr>
          <w:lang w:val="en-US"/>
        </w:rPr>
        <w:t xml:space="preserve">porous </w:t>
      </w:r>
      <w:r w:rsidR="00F759C3" w:rsidRPr="00B82F21">
        <w:rPr>
          <w:lang w:val="en-US"/>
        </w:rPr>
        <w:t>solid</w:t>
      </w:r>
      <w:r w:rsidR="00F84D8F">
        <w:rPr>
          <w:lang w:val="en-US"/>
        </w:rPr>
        <w:t>s</w:t>
      </w:r>
      <w:r w:rsidR="006E3327" w:rsidRPr="00DD2452">
        <w:rPr>
          <w:lang w:val="en-US"/>
        </w:rPr>
        <w:t xml:space="preserve"> </w:t>
      </w:r>
      <w:r w:rsidR="00F84D8F">
        <w:rPr>
          <w:lang w:val="en-US"/>
        </w:rPr>
        <w:t>are</w:t>
      </w:r>
      <w:r w:rsidR="00F84D8F" w:rsidRPr="00DD2452">
        <w:rPr>
          <w:lang w:val="en-US"/>
        </w:rPr>
        <w:t xml:space="preserve"> </w:t>
      </w:r>
      <w:r w:rsidR="00F84D8F">
        <w:rPr>
          <w:lang w:val="en-US"/>
        </w:rPr>
        <w:t>highly relevant parameters</w:t>
      </w:r>
      <w:r w:rsidR="006E3327" w:rsidRPr="00DD2452">
        <w:rPr>
          <w:lang w:val="en-US"/>
        </w:rPr>
        <w:t xml:space="preserve"> because the</w:t>
      </w:r>
      <w:r w:rsidR="00F84D8F">
        <w:rPr>
          <w:lang w:val="en-US"/>
        </w:rPr>
        <w:t>y</w:t>
      </w:r>
      <w:r w:rsidR="006E3327" w:rsidRPr="00DD2452">
        <w:rPr>
          <w:lang w:val="en-US"/>
        </w:rPr>
        <w:t xml:space="preserve"> are often used for </w:t>
      </w:r>
      <w:r w:rsidR="00F84D8F">
        <w:rPr>
          <w:lang w:val="en-US"/>
        </w:rPr>
        <w:t>the specifica</w:t>
      </w:r>
      <w:r w:rsidR="00F84D8F" w:rsidRPr="00DD2452">
        <w:rPr>
          <w:lang w:val="en-US"/>
        </w:rPr>
        <w:t xml:space="preserve">tion </w:t>
      </w:r>
      <w:r w:rsidR="006E3327" w:rsidRPr="00DD2452">
        <w:rPr>
          <w:lang w:val="en-US"/>
        </w:rPr>
        <w:t xml:space="preserve">of the vast majority of </w:t>
      </w:r>
      <w:r w:rsidR="003B6BF7">
        <w:rPr>
          <w:lang w:val="en-US"/>
        </w:rPr>
        <w:t xml:space="preserve">porous materials and substances (sorbents, catalytic agents, cross-linkers, zeolites, </w:t>
      </w:r>
      <w:proofErr w:type="spellStart"/>
      <w:r w:rsidR="003B6BF7">
        <w:rPr>
          <w:lang w:val="en-US"/>
        </w:rPr>
        <w:t>etc</w:t>
      </w:r>
      <w:proofErr w:type="spellEnd"/>
      <w:r w:rsidR="003B6BF7">
        <w:rPr>
          <w:lang w:val="en-US"/>
        </w:rPr>
        <w:t>)</w:t>
      </w:r>
      <w:r w:rsidR="00F84D8F">
        <w:rPr>
          <w:lang w:val="en-US"/>
        </w:rPr>
        <w:t xml:space="preserve"> used in advanced technology</w:t>
      </w:r>
      <w:r w:rsidR="003B6BF7">
        <w:rPr>
          <w:lang w:val="en-US"/>
        </w:rPr>
        <w:t xml:space="preserve">. To check </w:t>
      </w:r>
      <w:r w:rsidR="00F84D8F">
        <w:rPr>
          <w:lang w:val="en-US"/>
        </w:rPr>
        <w:t xml:space="preserve">the comparability </w:t>
      </w:r>
      <w:r w:rsidR="003B6BF7">
        <w:rPr>
          <w:lang w:val="en-US"/>
        </w:rPr>
        <w:t>of measurement</w:t>
      </w:r>
      <w:r w:rsidR="00F84D8F">
        <w:rPr>
          <w:lang w:val="en-US"/>
        </w:rPr>
        <w:t xml:space="preserve"> protocols at NMIs and DIs </w:t>
      </w:r>
      <w:proofErr w:type="spellStart"/>
      <w:r w:rsidR="00F84D8F">
        <w:rPr>
          <w:lang w:val="en-US"/>
        </w:rPr>
        <w:t>adressing</w:t>
      </w:r>
      <w:proofErr w:type="spellEnd"/>
      <w:r w:rsidR="00F84D8F">
        <w:rPr>
          <w:lang w:val="en-US"/>
        </w:rPr>
        <w:t xml:space="preserve"> </w:t>
      </w:r>
      <w:r w:rsidR="003B6BF7">
        <w:rPr>
          <w:lang w:val="en-US"/>
        </w:rPr>
        <w:t xml:space="preserve">the porosity properties </w:t>
      </w:r>
      <w:r w:rsidR="00F84D8F">
        <w:rPr>
          <w:lang w:val="en-US"/>
        </w:rPr>
        <w:t xml:space="preserve">of technologically relevant </w:t>
      </w:r>
      <w:r w:rsidR="00211F6A">
        <w:rPr>
          <w:lang w:val="en-US"/>
        </w:rPr>
        <w:t>micro</w:t>
      </w:r>
      <w:r w:rsidR="00F84D8F" w:rsidRPr="00B82F21">
        <w:rPr>
          <w:lang w:val="en-US"/>
        </w:rPr>
        <w:t>porous solid</w:t>
      </w:r>
      <w:r w:rsidR="00F84D8F">
        <w:rPr>
          <w:lang w:val="en-US"/>
        </w:rPr>
        <w:t>s a Key comparison is launched by the Surfac</w:t>
      </w:r>
      <w:r w:rsidR="00211F6A">
        <w:rPr>
          <w:lang w:val="en-US"/>
        </w:rPr>
        <w:t>e</w:t>
      </w:r>
      <w:r w:rsidR="00F84D8F">
        <w:rPr>
          <w:lang w:val="en-US"/>
        </w:rPr>
        <w:t xml:space="preserve"> Analysis Working Group at CCQM/BIPM</w:t>
      </w:r>
      <w:r w:rsidR="003B6BF7">
        <w:rPr>
          <w:lang w:val="en-US"/>
        </w:rPr>
        <w:t xml:space="preserve">. </w:t>
      </w:r>
    </w:p>
    <w:p w14:paraId="5670F9E0" w14:textId="51CBBEC5" w:rsidR="006E3327" w:rsidRPr="00302558" w:rsidRDefault="006E3327" w:rsidP="00DA0C5D">
      <w:pPr>
        <w:ind w:firstLine="720"/>
        <w:jc w:val="both"/>
        <w:rPr>
          <w:lang w:val="en-US"/>
        </w:rPr>
      </w:pPr>
      <w:r w:rsidRPr="00586B64">
        <w:rPr>
          <w:lang w:val="en-US"/>
        </w:rPr>
        <w:t xml:space="preserve">The comparison is </w:t>
      </w:r>
      <w:r>
        <w:rPr>
          <w:lang w:val="en-US"/>
        </w:rPr>
        <w:t xml:space="preserve">being carried out for the purpose </w:t>
      </w:r>
      <w:r w:rsidR="0050155F">
        <w:rPr>
          <w:lang w:val="en-US"/>
        </w:rPr>
        <w:t xml:space="preserve">to enable participating NMIs and DIs to claim CMCs as detailed </w:t>
      </w:r>
      <w:r w:rsidR="00180937">
        <w:rPr>
          <w:lang w:val="en-US"/>
        </w:rPr>
        <w:t>in table 1.</w:t>
      </w:r>
      <w:r w:rsidR="00E77DDC" w:rsidRPr="00E77DDC">
        <w:rPr>
          <w:lang w:val="en-US"/>
        </w:rPr>
        <w:t xml:space="preserve"> </w:t>
      </w:r>
      <w:r w:rsidR="00E77DDC" w:rsidRPr="00302558">
        <w:rPr>
          <w:b/>
          <w:bCs/>
          <w:lang w:val="en-US"/>
        </w:rPr>
        <w:t xml:space="preserve">Only specific adsorption of gas and specific surface area potentially can be CMC claims. </w:t>
      </w:r>
      <w:r w:rsidR="00302558" w:rsidRPr="00302558">
        <w:rPr>
          <w:b/>
          <w:bCs/>
          <w:lang w:val="en-US"/>
        </w:rPr>
        <w:t>Specific pore volume and pore diameter are informative characteristics and using as an optional information.</w:t>
      </w:r>
    </w:p>
    <w:p w14:paraId="472EEC5A" w14:textId="77777777" w:rsidR="00F84D8F" w:rsidRDefault="00F84D8F" w:rsidP="00DA0C5D">
      <w:pPr>
        <w:ind w:firstLine="720"/>
        <w:jc w:val="both"/>
        <w:rPr>
          <w:lang w:val="en-US"/>
        </w:rPr>
      </w:pPr>
    </w:p>
    <w:p w14:paraId="6E2E1AB3" w14:textId="77777777" w:rsidR="00180937" w:rsidRDefault="00180937" w:rsidP="00DA0C5D">
      <w:pPr>
        <w:ind w:firstLine="720"/>
        <w:jc w:val="both"/>
        <w:rPr>
          <w:lang w:val="en-US"/>
        </w:rPr>
      </w:pPr>
      <w:r w:rsidRPr="0050155F">
        <w:rPr>
          <w:b/>
          <w:lang w:val="en-US"/>
        </w:rPr>
        <w:t>Table 1</w:t>
      </w:r>
      <w:r w:rsidR="0050155F">
        <w:rPr>
          <w:lang w:val="en-US"/>
        </w:rPr>
        <w:t xml:space="preserve"> Layout of CMC claims </w:t>
      </w:r>
      <w:r w:rsidR="00951530">
        <w:rPr>
          <w:lang w:val="en-US"/>
        </w:rPr>
        <w:t xml:space="preserve">to be </w:t>
      </w:r>
      <w:r w:rsidR="0050155F">
        <w:rPr>
          <w:lang w:val="en-US"/>
        </w:rPr>
        <w:t xml:space="preserve">underpinned by Key comparison </w:t>
      </w:r>
      <w:r w:rsidR="0050155F" w:rsidRPr="0050155F">
        <w:rPr>
          <w:lang w:val="en-US"/>
        </w:rPr>
        <w:t>CCQM-K___</w:t>
      </w:r>
    </w:p>
    <w:tbl>
      <w:tblPr>
        <w:tblW w:w="946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016"/>
        <w:gridCol w:w="992"/>
        <w:gridCol w:w="1134"/>
        <w:gridCol w:w="992"/>
        <w:gridCol w:w="709"/>
        <w:gridCol w:w="709"/>
        <w:gridCol w:w="850"/>
        <w:gridCol w:w="709"/>
        <w:gridCol w:w="709"/>
        <w:gridCol w:w="850"/>
        <w:gridCol w:w="791"/>
      </w:tblGrid>
      <w:tr w:rsidR="003B6BF7" w:rsidRPr="00B72AC7" w14:paraId="1C522009" w14:textId="77777777" w:rsidTr="003B6BF7">
        <w:trPr>
          <w:trHeight w:val="541"/>
        </w:trPr>
        <w:tc>
          <w:tcPr>
            <w:tcW w:w="1016" w:type="dxa"/>
            <w:vMerge w:val="restart"/>
            <w:shd w:val="clear" w:color="auto" w:fill="FFFFFF" w:themeFill="background1"/>
            <w:vAlign w:val="center"/>
            <w:hideMark/>
          </w:tcPr>
          <w:p w14:paraId="79C33557" w14:textId="77777777" w:rsidR="00FC59D8" w:rsidRPr="00F759C3" w:rsidRDefault="006F4DBD" w:rsidP="003B6BF7">
            <w:pPr>
              <w:jc w:val="center"/>
              <w:rPr>
                <w:rFonts w:ascii="Arial" w:hAnsi="Arial" w:cs="Arial"/>
                <w:b/>
                <w:color w:val="000000" w:themeColor="text1"/>
                <w:sz w:val="16"/>
                <w:szCs w:val="16"/>
              </w:rPr>
            </w:pPr>
            <w:hyperlink r:id="rId8" w:anchor="RANGE!C9" w:history="1">
              <w:r w:rsidR="00FC59D8" w:rsidRPr="003B6BF7">
                <w:rPr>
                  <w:rFonts w:ascii="Arial" w:hAnsi="Arial" w:cs="Arial"/>
                  <w:b/>
                  <w:color w:val="000000" w:themeColor="text1"/>
                  <w:sz w:val="16"/>
                  <w:szCs w:val="16"/>
                </w:rPr>
                <w:t>Meas. Serv. Category</w:t>
              </w:r>
            </w:hyperlink>
          </w:p>
        </w:tc>
        <w:tc>
          <w:tcPr>
            <w:tcW w:w="992" w:type="dxa"/>
            <w:vMerge w:val="restart"/>
            <w:shd w:val="clear" w:color="auto" w:fill="FFFFFF" w:themeFill="background1"/>
            <w:vAlign w:val="center"/>
            <w:hideMark/>
          </w:tcPr>
          <w:p w14:paraId="50E25599" w14:textId="77777777" w:rsidR="00FC59D8" w:rsidRPr="00F759C3" w:rsidRDefault="006F4DBD" w:rsidP="003B6BF7">
            <w:pPr>
              <w:jc w:val="center"/>
              <w:rPr>
                <w:rFonts w:ascii="Arial" w:hAnsi="Arial" w:cs="Arial"/>
                <w:b/>
                <w:color w:val="000000" w:themeColor="text1"/>
                <w:sz w:val="16"/>
                <w:szCs w:val="16"/>
              </w:rPr>
            </w:pPr>
            <w:hyperlink r:id="rId9" w:anchor="RANGE!C10" w:history="1">
              <w:r w:rsidR="00FC59D8" w:rsidRPr="003B6BF7">
                <w:rPr>
                  <w:rFonts w:ascii="Arial" w:hAnsi="Arial" w:cs="Arial"/>
                  <w:b/>
                  <w:color w:val="000000" w:themeColor="text1"/>
                  <w:sz w:val="16"/>
                  <w:szCs w:val="16"/>
                </w:rPr>
                <w:t>Matrix</w:t>
              </w:r>
            </w:hyperlink>
          </w:p>
        </w:tc>
        <w:tc>
          <w:tcPr>
            <w:tcW w:w="2126" w:type="dxa"/>
            <w:gridSpan w:val="2"/>
            <w:shd w:val="clear" w:color="auto" w:fill="FFFFFF" w:themeFill="background1"/>
            <w:noWrap/>
            <w:vAlign w:val="center"/>
            <w:hideMark/>
          </w:tcPr>
          <w:p w14:paraId="15FAA653" w14:textId="77777777" w:rsidR="00FC59D8" w:rsidRPr="00F759C3" w:rsidRDefault="006F4DBD" w:rsidP="003B6BF7">
            <w:pPr>
              <w:jc w:val="center"/>
              <w:rPr>
                <w:rFonts w:ascii="Arial" w:hAnsi="Arial" w:cs="Arial"/>
                <w:b/>
                <w:color w:val="000000" w:themeColor="text1"/>
                <w:sz w:val="16"/>
                <w:szCs w:val="16"/>
              </w:rPr>
            </w:pPr>
            <w:hyperlink r:id="rId10" w:anchor="RANGE!A11" w:history="1">
              <w:r w:rsidR="00FC59D8" w:rsidRPr="003B6BF7">
                <w:rPr>
                  <w:rFonts w:ascii="Arial" w:hAnsi="Arial" w:cs="Arial"/>
                  <w:b/>
                  <w:color w:val="000000" w:themeColor="text1"/>
                  <w:sz w:val="16"/>
                  <w:szCs w:val="16"/>
                </w:rPr>
                <w:t>Measurand</w:t>
              </w:r>
            </w:hyperlink>
          </w:p>
        </w:tc>
        <w:tc>
          <w:tcPr>
            <w:tcW w:w="2268" w:type="dxa"/>
            <w:gridSpan w:val="3"/>
            <w:shd w:val="clear" w:color="auto" w:fill="FFFFFF" w:themeFill="background1"/>
            <w:vAlign w:val="center"/>
            <w:hideMark/>
          </w:tcPr>
          <w:p w14:paraId="4BCB8C87" w14:textId="77777777" w:rsidR="00FC59D8" w:rsidRPr="00F759C3" w:rsidRDefault="006F4DBD" w:rsidP="003B6BF7">
            <w:pPr>
              <w:jc w:val="center"/>
              <w:rPr>
                <w:rFonts w:ascii="Arial" w:hAnsi="Arial" w:cs="Arial"/>
                <w:b/>
                <w:color w:val="000000" w:themeColor="text1"/>
                <w:sz w:val="16"/>
                <w:szCs w:val="16"/>
                <w:lang w:val="en-US"/>
              </w:rPr>
            </w:pPr>
            <w:hyperlink r:id="rId11" w:anchor="RANGE!A15" w:history="1">
              <w:r w:rsidR="00FC59D8" w:rsidRPr="003B6BF7">
                <w:rPr>
                  <w:rFonts w:ascii="Arial" w:hAnsi="Arial" w:cs="Arial"/>
                  <w:b/>
                  <w:color w:val="000000" w:themeColor="text1"/>
                  <w:sz w:val="16"/>
                  <w:szCs w:val="16"/>
                  <w:lang w:val="en-US"/>
                </w:rPr>
                <w:t>Dissemination Range of Measurement Capability</w:t>
              </w:r>
            </w:hyperlink>
          </w:p>
        </w:tc>
        <w:tc>
          <w:tcPr>
            <w:tcW w:w="3059" w:type="dxa"/>
            <w:gridSpan w:val="4"/>
            <w:shd w:val="clear" w:color="auto" w:fill="FFFFFF" w:themeFill="background1"/>
            <w:vAlign w:val="center"/>
            <w:hideMark/>
          </w:tcPr>
          <w:p w14:paraId="5ADAF0BB" w14:textId="77777777" w:rsidR="00FC59D8" w:rsidRPr="00F759C3" w:rsidRDefault="00FC59D8" w:rsidP="003B6BF7">
            <w:pPr>
              <w:jc w:val="center"/>
              <w:rPr>
                <w:rFonts w:ascii="Arial" w:hAnsi="Arial" w:cs="Arial"/>
                <w:b/>
                <w:color w:val="000000" w:themeColor="text1"/>
                <w:sz w:val="16"/>
                <w:szCs w:val="16"/>
                <w:lang w:val="en-US"/>
              </w:rPr>
            </w:pPr>
            <w:r w:rsidRPr="003B6BF7">
              <w:rPr>
                <w:rFonts w:ascii="Arial" w:hAnsi="Arial" w:cs="Arial"/>
                <w:b/>
                <w:color w:val="000000" w:themeColor="text1"/>
                <w:sz w:val="16"/>
                <w:szCs w:val="16"/>
                <w:lang w:val="en-US"/>
              </w:rPr>
              <w:t>Range of Expanded Uncertainties as Disseminated</w:t>
            </w:r>
          </w:p>
        </w:tc>
      </w:tr>
      <w:tr w:rsidR="003B6BF7" w:rsidRPr="003B6BF7" w14:paraId="029AE87A" w14:textId="77777777" w:rsidTr="009B1751">
        <w:trPr>
          <w:trHeight w:val="563"/>
        </w:trPr>
        <w:tc>
          <w:tcPr>
            <w:tcW w:w="1016" w:type="dxa"/>
            <w:vMerge/>
            <w:shd w:val="clear" w:color="auto" w:fill="FFFFFF" w:themeFill="background1"/>
            <w:vAlign w:val="center"/>
            <w:hideMark/>
          </w:tcPr>
          <w:p w14:paraId="15A3B48A" w14:textId="77777777" w:rsidR="003B6BF7" w:rsidRPr="00F759C3" w:rsidRDefault="003B6BF7" w:rsidP="003B6BF7">
            <w:pPr>
              <w:jc w:val="center"/>
              <w:rPr>
                <w:rFonts w:ascii="Arial" w:hAnsi="Arial" w:cs="Arial"/>
                <w:b/>
                <w:color w:val="000000" w:themeColor="text1"/>
                <w:sz w:val="16"/>
                <w:szCs w:val="16"/>
                <w:lang w:val="en-US"/>
              </w:rPr>
            </w:pPr>
            <w:bookmarkStart w:id="6" w:name="_Hlk402452929"/>
          </w:p>
        </w:tc>
        <w:tc>
          <w:tcPr>
            <w:tcW w:w="992" w:type="dxa"/>
            <w:vMerge/>
            <w:shd w:val="clear" w:color="auto" w:fill="FFFFFF" w:themeFill="background1"/>
            <w:vAlign w:val="center"/>
            <w:hideMark/>
          </w:tcPr>
          <w:p w14:paraId="4451DF9C" w14:textId="77777777" w:rsidR="003B6BF7" w:rsidRPr="00F759C3" w:rsidRDefault="003B6BF7" w:rsidP="003B6BF7">
            <w:pPr>
              <w:jc w:val="center"/>
              <w:rPr>
                <w:rFonts w:ascii="Arial" w:hAnsi="Arial" w:cs="Arial"/>
                <w:b/>
                <w:color w:val="000000" w:themeColor="text1"/>
                <w:sz w:val="16"/>
                <w:szCs w:val="16"/>
                <w:lang w:val="en-US"/>
              </w:rPr>
            </w:pPr>
          </w:p>
        </w:tc>
        <w:tc>
          <w:tcPr>
            <w:tcW w:w="1134" w:type="dxa"/>
            <w:shd w:val="clear" w:color="auto" w:fill="FFFFFF" w:themeFill="background1"/>
            <w:vAlign w:val="center"/>
          </w:tcPr>
          <w:p w14:paraId="13FC3678" w14:textId="77777777" w:rsidR="003B6BF7" w:rsidRPr="00F759C3" w:rsidRDefault="006F4DBD" w:rsidP="003B6BF7">
            <w:pPr>
              <w:jc w:val="center"/>
              <w:rPr>
                <w:rFonts w:ascii="Arial" w:hAnsi="Arial" w:cs="Arial"/>
                <w:b/>
                <w:color w:val="000000" w:themeColor="text1"/>
                <w:sz w:val="16"/>
                <w:szCs w:val="16"/>
              </w:rPr>
            </w:pPr>
            <w:hyperlink r:id="rId12" w:anchor="RANGE!C12" w:history="1">
              <w:r w:rsidR="003B6BF7" w:rsidRPr="003B6BF7">
                <w:rPr>
                  <w:rFonts w:ascii="Arial" w:hAnsi="Arial" w:cs="Arial"/>
                  <w:b/>
                  <w:color w:val="000000" w:themeColor="text1"/>
                  <w:sz w:val="16"/>
                  <w:szCs w:val="16"/>
                </w:rPr>
                <w:t xml:space="preserve">Analyte or </w:t>
              </w:r>
              <w:r w:rsidR="003B6BF7">
                <w:rPr>
                  <w:rFonts w:ascii="Arial" w:hAnsi="Arial" w:cs="Arial"/>
                  <w:b/>
                  <w:color w:val="000000" w:themeColor="text1"/>
                  <w:sz w:val="16"/>
                  <w:szCs w:val="16"/>
                  <w:lang w:val="en-US"/>
                </w:rPr>
                <w:t>c</w:t>
              </w:r>
              <w:r w:rsidR="003B6BF7" w:rsidRPr="003B6BF7">
                <w:rPr>
                  <w:rFonts w:ascii="Arial" w:hAnsi="Arial" w:cs="Arial"/>
                  <w:b/>
                  <w:color w:val="000000" w:themeColor="text1"/>
                  <w:sz w:val="16"/>
                  <w:szCs w:val="16"/>
                </w:rPr>
                <w:t>omponent</w:t>
              </w:r>
            </w:hyperlink>
          </w:p>
        </w:tc>
        <w:tc>
          <w:tcPr>
            <w:tcW w:w="992" w:type="dxa"/>
            <w:shd w:val="clear" w:color="auto" w:fill="FFFFFF" w:themeFill="background1"/>
            <w:vAlign w:val="center"/>
          </w:tcPr>
          <w:p w14:paraId="4DC2686B" w14:textId="77777777" w:rsidR="003B6BF7" w:rsidRPr="00F759C3" w:rsidRDefault="006F4DBD" w:rsidP="003B6BF7">
            <w:pPr>
              <w:jc w:val="center"/>
              <w:rPr>
                <w:rFonts w:ascii="Arial" w:hAnsi="Arial" w:cs="Arial"/>
                <w:b/>
                <w:color w:val="000000" w:themeColor="text1"/>
                <w:sz w:val="16"/>
                <w:szCs w:val="16"/>
              </w:rPr>
            </w:pPr>
            <w:hyperlink r:id="rId13" w:anchor="RANGE!C14" w:history="1">
              <w:r w:rsidR="003B6BF7" w:rsidRPr="003B6BF7">
                <w:rPr>
                  <w:rFonts w:ascii="Arial" w:hAnsi="Arial" w:cs="Arial"/>
                  <w:b/>
                  <w:color w:val="000000" w:themeColor="text1"/>
                  <w:sz w:val="16"/>
                  <w:szCs w:val="16"/>
                </w:rPr>
                <w:t>Quantity</w:t>
              </w:r>
            </w:hyperlink>
          </w:p>
        </w:tc>
        <w:tc>
          <w:tcPr>
            <w:tcW w:w="709" w:type="dxa"/>
            <w:shd w:val="clear" w:color="auto" w:fill="FFFFFF" w:themeFill="background1"/>
            <w:vAlign w:val="center"/>
            <w:hideMark/>
          </w:tcPr>
          <w:p w14:paraId="362CAE02" w14:textId="77777777" w:rsidR="003B6BF7" w:rsidRPr="00F759C3" w:rsidRDefault="006F4DBD" w:rsidP="003B6BF7">
            <w:pPr>
              <w:jc w:val="center"/>
              <w:rPr>
                <w:rFonts w:ascii="Arial" w:hAnsi="Arial" w:cs="Arial"/>
                <w:b/>
                <w:color w:val="000000" w:themeColor="text1"/>
                <w:sz w:val="16"/>
                <w:szCs w:val="16"/>
              </w:rPr>
            </w:pPr>
            <w:hyperlink r:id="rId14" w:anchor="RANGE!C15" w:history="1">
              <w:r w:rsidR="003B6BF7" w:rsidRPr="003B6BF7">
                <w:rPr>
                  <w:rFonts w:ascii="Arial" w:hAnsi="Arial" w:cs="Arial"/>
                  <w:b/>
                  <w:color w:val="000000" w:themeColor="text1"/>
                  <w:sz w:val="16"/>
                  <w:szCs w:val="16"/>
                </w:rPr>
                <w:t>From</w:t>
              </w:r>
            </w:hyperlink>
          </w:p>
        </w:tc>
        <w:tc>
          <w:tcPr>
            <w:tcW w:w="709" w:type="dxa"/>
            <w:shd w:val="clear" w:color="auto" w:fill="FFFFFF" w:themeFill="background1"/>
            <w:vAlign w:val="center"/>
            <w:hideMark/>
          </w:tcPr>
          <w:p w14:paraId="6B1C5419" w14:textId="77777777" w:rsidR="003B6BF7" w:rsidRPr="00F759C3" w:rsidRDefault="006F4DBD" w:rsidP="003B6BF7">
            <w:pPr>
              <w:jc w:val="center"/>
              <w:rPr>
                <w:rFonts w:ascii="Arial" w:hAnsi="Arial" w:cs="Arial"/>
                <w:b/>
                <w:color w:val="000000" w:themeColor="text1"/>
                <w:sz w:val="16"/>
                <w:szCs w:val="16"/>
              </w:rPr>
            </w:pPr>
            <w:hyperlink r:id="rId15" w:anchor="RANGE!C15" w:history="1">
              <w:r w:rsidR="003B6BF7" w:rsidRPr="003B6BF7">
                <w:rPr>
                  <w:rFonts w:ascii="Arial" w:hAnsi="Arial" w:cs="Arial"/>
                  <w:b/>
                  <w:color w:val="000000" w:themeColor="text1"/>
                  <w:sz w:val="16"/>
                  <w:szCs w:val="16"/>
                </w:rPr>
                <w:t>To</w:t>
              </w:r>
            </w:hyperlink>
          </w:p>
        </w:tc>
        <w:tc>
          <w:tcPr>
            <w:tcW w:w="850" w:type="dxa"/>
            <w:shd w:val="clear" w:color="auto" w:fill="FFFFFF" w:themeFill="background1"/>
            <w:vAlign w:val="center"/>
            <w:hideMark/>
          </w:tcPr>
          <w:p w14:paraId="38D326F6" w14:textId="77777777" w:rsidR="003B6BF7" w:rsidRPr="00F759C3" w:rsidRDefault="006F4DBD" w:rsidP="003B6BF7">
            <w:pPr>
              <w:jc w:val="center"/>
              <w:rPr>
                <w:rFonts w:ascii="Arial" w:hAnsi="Arial" w:cs="Arial"/>
                <w:b/>
                <w:color w:val="000000" w:themeColor="text1"/>
                <w:sz w:val="16"/>
                <w:szCs w:val="16"/>
              </w:rPr>
            </w:pPr>
            <w:hyperlink r:id="rId16" w:anchor="RANGE!C15" w:history="1">
              <w:r w:rsidR="003B6BF7" w:rsidRPr="003B6BF7">
                <w:rPr>
                  <w:rFonts w:ascii="Arial" w:hAnsi="Arial" w:cs="Arial"/>
                  <w:b/>
                  <w:color w:val="000000" w:themeColor="text1"/>
                  <w:sz w:val="16"/>
                  <w:szCs w:val="16"/>
                </w:rPr>
                <w:t>Unit</w:t>
              </w:r>
            </w:hyperlink>
          </w:p>
        </w:tc>
        <w:tc>
          <w:tcPr>
            <w:tcW w:w="709" w:type="dxa"/>
            <w:shd w:val="clear" w:color="auto" w:fill="FFFFFF" w:themeFill="background1"/>
            <w:vAlign w:val="center"/>
            <w:hideMark/>
          </w:tcPr>
          <w:p w14:paraId="178A8A27" w14:textId="77777777" w:rsidR="003B6BF7" w:rsidRPr="00F759C3" w:rsidRDefault="006F4DBD" w:rsidP="003B6BF7">
            <w:pPr>
              <w:jc w:val="center"/>
              <w:rPr>
                <w:rFonts w:ascii="Arial" w:hAnsi="Arial" w:cs="Arial"/>
                <w:b/>
                <w:color w:val="000000" w:themeColor="text1"/>
                <w:sz w:val="16"/>
                <w:szCs w:val="16"/>
              </w:rPr>
            </w:pPr>
            <w:hyperlink r:id="rId17" w:anchor="RANGE!C18" w:history="1">
              <w:r w:rsidR="003B6BF7" w:rsidRPr="003B6BF7">
                <w:rPr>
                  <w:rFonts w:ascii="Arial" w:hAnsi="Arial" w:cs="Arial"/>
                  <w:b/>
                  <w:color w:val="000000" w:themeColor="text1"/>
                  <w:sz w:val="16"/>
                  <w:szCs w:val="16"/>
                </w:rPr>
                <w:t>From</w:t>
              </w:r>
            </w:hyperlink>
          </w:p>
        </w:tc>
        <w:tc>
          <w:tcPr>
            <w:tcW w:w="709" w:type="dxa"/>
            <w:shd w:val="clear" w:color="auto" w:fill="FFFFFF" w:themeFill="background1"/>
            <w:vAlign w:val="center"/>
            <w:hideMark/>
          </w:tcPr>
          <w:p w14:paraId="38E2CB64" w14:textId="77777777" w:rsidR="003B6BF7" w:rsidRPr="00F759C3" w:rsidRDefault="006F4DBD" w:rsidP="003B6BF7">
            <w:pPr>
              <w:jc w:val="center"/>
              <w:rPr>
                <w:rFonts w:ascii="Arial" w:hAnsi="Arial" w:cs="Arial"/>
                <w:b/>
                <w:color w:val="000000" w:themeColor="text1"/>
                <w:sz w:val="16"/>
                <w:szCs w:val="16"/>
              </w:rPr>
            </w:pPr>
            <w:hyperlink r:id="rId18" w:anchor="RANGE!C18" w:history="1">
              <w:r w:rsidR="003B6BF7" w:rsidRPr="003B6BF7">
                <w:rPr>
                  <w:rFonts w:ascii="Arial" w:hAnsi="Arial" w:cs="Arial"/>
                  <w:b/>
                  <w:color w:val="000000" w:themeColor="text1"/>
                  <w:sz w:val="16"/>
                  <w:szCs w:val="16"/>
                </w:rPr>
                <w:t>To</w:t>
              </w:r>
            </w:hyperlink>
          </w:p>
        </w:tc>
        <w:tc>
          <w:tcPr>
            <w:tcW w:w="850" w:type="dxa"/>
            <w:shd w:val="clear" w:color="auto" w:fill="FFFFFF" w:themeFill="background1"/>
            <w:vAlign w:val="center"/>
            <w:hideMark/>
          </w:tcPr>
          <w:p w14:paraId="6FA19145" w14:textId="77777777" w:rsidR="003B6BF7" w:rsidRPr="00F759C3" w:rsidRDefault="006F4DBD" w:rsidP="003B6BF7">
            <w:pPr>
              <w:jc w:val="center"/>
              <w:rPr>
                <w:rFonts w:ascii="Arial" w:hAnsi="Arial" w:cs="Arial"/>
                <w:b/>
                <w:color w:val="000000" w:themeColor="text1"/>
                <w:sz w:val="16"/>
                <w:szCs w:val="16"/>
              </w:rPr>
            </w:pPr>
            <w:hyperlink r:id="rId19" w:anchor="RANGE!C18" w:history="1">
              <w:r w:rsidR="003B6BF7" w:rsidRPr="003B6BF7">
                <w:rPr>
                  <w:rFonts w:ascii="Arial" w:hAnsi="Arial" w:cs="Arial"/>
                  <w:b/>
                  <w:color w:val="000000" w:themeColor="text1"/>
                  <w:sz w:val="16"/>
                  <w:szCs w:val="16"/>
                </w:rPr>
                <w:t>Unit</w:t>
              </w:r>
            </w:hyperlink>
          </w:p>
        </w:tc>
        <w:tc>
          <w:tcPr>
            <w:tcW w:w="791" w:type="dxa"/>
            <w:shd w:val="clear" w:color="auto" w:fill="FFFFFF" w:themeFill="background1"/>
            <w:vAlign w:val="center"/>
            <w:hideMark/>
          </w:tcPr>
          <w:p w14:paraId="244EEB05" w14:textId="77777777" w:rsidR="003B6BF7" w:rsidRPr="00F759C3" w:rsidRDefault="006F4DBD" w:rsidP="003B6BF7">
            <w:pPr>
              <w:jc w:val="center"/>
              <w:rPr>
                <w:rFonts w:ascii="Arial" w:hAnsi="Arial" w:cs="Arial"/>
                <w:b/>
                <w:color w:val="000000" w:themeColor="text1"/>
                <w:sz w:val="16"/>
                <w:szCs w:val="16"/>
                <w:lang w:val="en-US"/>
              </w:rPr>
            </w:pPr>
            <w:hyperlink r:id="rId20" w:anchor="RANGE!C18" w:history="1">
              <w:r w:rsidR="003B6BF7" w:rsidRPr="003B6BF7">
                <w:rPr>
                  <w:rFonts w:ascii="Arial" w:hAnsi="Arial" w:cs="Arial"/>
                  <w:b/>
                  <w:color w:val="000000" w:themeColor="text1"/>
                  <w:sz w:val="16"/>
                  <w:szCs w:val="16"/>
                </w:rPr>
                <w:t>Cov. factor</w:t>
              </w:r>
            </w:hyperlink>
          </w:p>
        </w:tc>
      </w:tr>
      <w:tr w:rsidR="003B6BF7" w:rsidRPr="003B6BF7" w14:paraId="5F4A651C" w14:textId="77777777" w:rsidTr="009B1751">
        <w:trPr>
          <w:trHeight w:val="777"/>
        </w:trPr>
        <w:tc>
          <w:tcPr>
            <w:tcW w:w="1016" w:type="dxa"/>
            <w:shd w:val="clear" w:color="auto" w:fill="FFFFFF" w:themeFill="background1"/>
            <w:vAlign w:val="center"/>
          </w:tcPr>
          <w:p w14:paraId="0BD532A4" w14:textId="77777777" w:rsidR="003B6BF7" w:rsidRPr="00F759C3" w:rsidRDefault="003B6BF7" w:rsidP="003B6BF7">
            <w:pPr>
              <w:jc w:val="center"/>
              <w:rPr>
                <w:rFonts w:ascii="Arial" w:hAnsi="Arial" w:cs="Arial"/>
                <w:color w:val="000000" w:themeColor="text1"/>
                <w:sz w:val="16"/>
                <w:szCs w:val="16"/>
              </w:rPr>
            </w:pPr>
            <w:bookmarkStart w:id="7" w:name="_Hlk402448734"/>
            <w:proofErr w:type="spellStart"/>
            <w:r w:rsidRPr="00F759C3">
              <w:rPr>
                <w:rFonts w:ascii="Arial" w:hAnsi="Arial" w:cs="Arial"/>
                <w:color w:val="000000" w:themeColor="text1"/>
                <w:sz w:val="16"/>
                <w:szCs w:val="16"/>
              </w:rPr>
              <w:t>Advanced</w:t>
            </w:r>
            <w:proofErr w:type="spellEnd"/>
            <w:r w:rsidRPr="00F759C3">
              <w:rPr>
                <w:rFonts w:ascii="Arial" w:hAnsi="Arial" w:cs="Arial"/>
                <w:color w:val="000000" w:themeColor="text1"/>
                <w:sz w:val="16"/>
                <w:szCs w:val="16"/>
              </w:rPr>
              <w:t xml:space="preserve"> </w:t>
            </w:r>
            <w:proofErr w:type="spellStart"/>
            <w:r w:rsidRPr="00F759C3">
              <w:rPr>
                <w:rFonts w:ascii="Arial" w:hAnsi="Arial" w:cs="Arial"/>
                <w:color w:val="000000" w:themeColor="text1"/>
                <w:sz w:val="16"/>
                <w:szCs w:val="16"/>
              </w:rPr>
              <w:t>Materials</w:t>
            </w:r>
            <w:proofErr w:type="spellEnd"/>
          </w:p>
        </w:tc>
        <w:tc>
          <w:tcPr>
            <w:tcW w:w="992" w:type="dxa"/>
            <w:shd w:val="clear" w:color="auto" w:fill="FFFFFF" w:themeFill="background1"/>
            <w:vAlign w:val="center"/>
          </w:tcPr>
          <w:p w14:paraId="0D047867" w14:textId="36AF6192" w:rsidR="003B6BF7" w:rsidRPr="00F759C3" w:rsidRDefault="00211F6A" w:rsidP="003B6BF7">
            <w:pPr>
              <w:jc w:val="center"/>
              <w:rPr>
                <w:rFonts w:ascii="Arial" w:hAnsi="Arial" w:cs="Arial"/>
                <w:color w:val="000000" w:themeColor="text1"/>
                <w:sz w:val="16"/>
                <w:szCs w:val="16"/>
              </w:rPr>
            </w:pPr>
            <w:r>
              <w:rPr>
                <w:rFonts w:ascii="Arial" w:hAnsi="Arial" w:cs="Arial"/>
                <w:color w:val="000000" w:themeColor="text1"/>
                <w:sz w:val="16"/>
                <w:szCs w:val="16"/>
                <w:lang w:val="en-US"/>
              </w:rPr>
              <w:t>zeolite</w:t>
            </w:r>
          </w:p>
        </w:tc>
        <w:tc>
          <w:tcPr>
            <w:tcW w:w="1134" w:type="dxa"/>
            <w:shd w:val="clear" w:color="auto" w:fill="FFFFFF" w:themeFill="background1"/>
            <w:vAlign w:val="center"/>
          </w:tcPr>
          <w:p w14:paraId="7F8BC213" w14:textId="394FA94E" w:rsidR="003B6BF7" w:rsidRPr="003B6BF7" w:rsidRDefault="00211F6A" w:rsidP="003B6BF7">
            <w:pPr>
              <w:jc w:val="center"/>
              <w:rPr>
                <w:rFonts w:ascii="Arial" w:hAnsi="Arial" w:cs="Arial"/>
                <w:color w:val="000000" w:themeColor="text1"/>
                <w:sz w:val="16"/>
                <w:szCs w:val="16"/>
                <w:u w:val="single"/>
              </w:rPr>
            </w:pPr>
            <w:r>
              <w:rPr>
                <w:rFonts w:ascii="Arial" w:hAnsi="Arial" w:cs="Arial"/>
                <w:color w:val="000000" w:themeColor="text1"/>
                <w:sz w:val="16"/>
                <w:szCs w:val="16"/>
                <w:lang w:val="en-US"/>
              </w:rPr>
              <w:t>zeolite</w:t>
            </w:r>
          </w:p>
        </w:tc>
        <w:tc>
          <w:tcPr>
            <w:tcW w:w="992" w:type="dxa"/>
            <w:shd w:val="clear" w:color="auto" w:fill="FFFFFF" w:themeFill="background1"/>
            <w:vAlign w:val="center"/>
          </w:tcPr>
          <w:p w14:paraId="2FA14C77" w14:textId="7C509CD7" w:rsidR="003B6BF7" w:rsidRPr="003B6BF7" w:rsidRDefault="003B6BF7" w:rsidP="003B6BF7">
            <w:pPr>
              <w:jc w:val="center"/>
              <w:rPr>
                <w:rFonts w:ascii="Arial" w:hAnsi="Arial" w:cs="Arial"/>
                <w:color w:val="000000" w:themeColor="text1"/>
                <w:sz w:val="16"/>
                <w:szCs w:val="16"/>
                <w:u w:val="single"/>
                <w:lang w:val="en-US"/>
              </w:rPr>
            </w:pPr>
            <w:proofErr w:type="spellStart"/>
            <w:r w:rsidRPr="00F759C3">
              <w:rPr>
                <w:rFonts w:ascii="Arial" w:hAnsi="Arial" w:cs="Arial"/>
                <w:color w:val="000000" w:themeColor="text1"/>
                <w:sz w:val="16"/>
                <w:szCs w:val="16"/>
              </w:rPr>
              <w:t>Specific</w:t>
            </w:r>
            <w:proofErr w:type="spellEnd"/>
            <w:r w:rsidRPr="00F759C3">
              <w:rPr>
                <w:rFonts w:ascii="Arial" w:hAnsi="Arial" w:cs="Arial"/>
                <w:color w:val="000000" w:themeColor="text1"/>
                <w:sz w:val="16"/>
                <w:szCs w:val="16"/>
              </w:rPr>
              <w:t xml:space="preserve"> </w:t>
            </w:r>
            <w:r w:rsidRPr="003B6BF7">
              <w:rPr>
                <w:rFonts w:ascii="Arial" w:hAnsi="Arial" w:cs="Arial"/>
                <w:color w:val="000000" w:themeColor="text1"/>
                <w:sz w:val="16"/>
                <w:szCs w:val="16"/>
                <w:lang w:val="en-US"/>
              </w:rPr>
              <w:t>adsorption</w:t>
            </w:r>
            <w:r w:rsidR="000241A8">
              <w:rPr>
                <w:rFonts w:ascii="Arial" w:hAnsi="Arial" w:cs="Arial"/>
                <w:color w:val="000000" w:themeColor="text1"/>
                <w:sz w:val="16"/>
                <w:szCs w:val="16"/>
                <w:lang w:val="en-US"/>
              </w:rPr>
              <w:t xml:space="preserve"> </w:t>
            </w:r>
            <w:proofErr w:type="gramStart"/>
            <w:r w:rsidR="000241A8">
              <w:rPr>
                <w:rFonts w:ascii="Arial" w:hAnsi="Arial" w:cs="Arial"/>
                <w:color w:val="000000" w:themeColor="text1"/>
                <w:sz w:val="16"/>
                <w:szCs w:val="16"/>
                <w:lang w:val="en-US"/>
              </w:rPr>
              <w:t xml:space="preserve">of </w:t>
            </w:r>
            <w:r w:rsidRPr="003B6BF7">
              <w:rPr>
                <w:rFonts w:ascii="Arial" w:hAnsi="Arial" w:cs="Arial"/>
                <w:color w:val="000000" w:themeColor="text1"/>
                <w:sz w:val="16"/>
                <w:szCs w:val="16"/>
                <w:lang w:val="en-US"/>
              </w:rPr>
              <w:t xml:space="preserve"> </w:t>
            </w:r>
            <w:r w:rsidR="00211F6A">
              <w:rPr>
                <w:rFonts w:ascii="Arial" w:hAnsi="Arial" w:cs="Arial"/>
                <w:color w:val="000000" w:themeColor="text1"/>
                <w:sz w:val="16"/>
                <w:szCs w:val="16"/>
                <w:lang w:val="en-US"/>
              </w:rPr>
              <w:t>argon</w:t>
            </w:r>
            <w:proofErr w:type="gramEnd"/>
          </w:p>
        </w:tc>
        <w:tc>
          <w:tcPr>
            <w:tcW w:w="709" w:type="dxa"/>
            <w:shd w:val="clear" w:color="auto" w:fill="FFFFFF" w:themeFill="background1"/>
            <w:vAlign w:val="center"/>
          </w:tcPr>
          <w:p w14:paraId="59FF4406" w14:textId="1A76BE7C" w:rsidR="003B6BF7" w:rsidRPr="000D5954" w:rsidRDefault="000D5954" w:rsidP="003B6BF7">
            <w:pPr>
              <w:jc w:val="center"/>
              <w:rPr>
                <w:rFonts w:ascii="Arial" w:hAnsi="Arial" w:cs="Arial"/>
                <w:color w:val="000000" w:themeColor="text1"/>
                <w:sz w:val="16"/>
                <w:szCs w:val="16"/>
              </w:rPr>
            </w:pPr>
            <w:r>
              <w:rPr>
                <w:rFonts w:ascii="Arial" w:hAnsi="Arial" w:cs="Arial"/>
                <w:color w:val="000000" w:themeColor="text1"/>
                <w:sz w:val="16"/>
                <w:szCs w:val="16"/>
              </w:rPr>
              <w:t>1</w:t>
            </w:r>
          </w:p>
        </w:tc>
        <w:tc>
          <w:tcPr>
            <w:tcW w:w="709" w:type="dxa"/>
            <w:shd w:val="clear" w:color="auto" w:fill="FFFFFF" w:themeFill="background1"/>
            <w:vAlign w:val="center"/>
          </w:tcPr>
          <w:p w14:paraId="30E18F5E" w14:textId="3E43F6EE" w:rsidR="003B6BF7" w:rsidRPr="000D5954" w:rsidRDefault="000D5954" w:rsidP="003B6BF7">
            <w:pPr>
              <w:jc w:val="center"/>
              <w:rPr>
                <w:rFonts w:ascii="Arial" w:hAnsi="Arial" w:cs="Arial"/>
                <w:color w:val="000000" w:themeColor="text1"/>
                <w:sz w:val="16"/>
                <w:szCs w:val="16"/>
              </w:rPr>
            </w:pPr>
            <w:r>
              <w:rPr>
                <w:rFonts w:ascii="Arial" w:hAnsi="Arial" w:cs="Arial"/>
                <w:color w:val="000000" w:themeColor="text1"/>
                <w:sz w:val="16"/>
                <w:szCs w:val="16"/>
              </w:rPr>
              <w:t>20</w:t>
            </w:r>
          </w:p>
        </w:tc>
        <w:tc>
          <w:tcPr>
            <w:tcW w:w="850" w:type="dxa"/>
            <w:shd w:val="clear" w:color="auto" w:fill="FFFFFF" w:themeFill="background1"/>
            <w:vAlign w:val="center"/>
          </w:tcPr>
          <w:p w14:paraId="5845E648" w14:textId="77777777" w:rsidR="003B6BF7" w:rsidRPr="003B6BF7" w:rsidRDefault="003B6BF7" w:rsidP="003B6BF7">
            <w:pPr>
              <w:jc w:val="center"/>
              <w:rPr>
                <w:rFonts w:ascii="Arial" w:hAnsi="Arial" w:cs="Arial"/>
                <w:color w:val="000000" w:themeColor="text1"/>
                <w:sz w:val="16"/>
                <w:szCs w:val="16"/>
                <w:u w:val="single"/>
              </w:rPr>
            </w:pPr>
            <w:r w:rsidRPr="003B6BF7">
              <w:rPr>
                <w:rFonts w:ascii="Arial" w:hAnsi="Arial" w:cs="Arial"/>
                <w:color w:val="000000" w:themeColor="text1"/>
                <w:sz w:val="16"/>
                <w:szCs w:val="16"/>
                <w:lang w:val="en-US"/>
              </w:rPr>
              <w:t>mol</w:t>
            </w:r>
            <w:r w:rsidRPr="003B6BF7">
              <w:rPr>
                <w:rFonts w:ascii="Arial" w:hAnsi="Arial" w:cs="Arial"/>
                <w:color w:val="000000" w:themeColor="text1"/>
                <w:sz w:val="16"/>
                <w:szCs w:val="16"/>
              </w:rPr>
              <w:t>/</w:t>
            </w:r>
            <w:r w:rsidRPr="003B6BF7">
              <w:rPr>
                <w:rFonts w:ascii="Arial" w:hAnsi="Arial" w:cs="Arial"/>
                <w:color w:val="000000" w:themeColor="text1"/>
                <w:sz w:val="16"/>
                <w:szCs w:val="16"/>
                <w:lang w:val="en-US"/>
              </w:rPr>
              <w:t>k</w:t>
            </w:r>
            <w:r w:rsidRPr="003B6BF7">
              <w:rPr>
                <w:rFonts w:ascii="Arial" w:hAnsi="Arial" w:cs="Arial"/>
                <w:color w:val="000000" w:themeColor="text1"/>
                <w:sz w:val="16"/>
                <w:szCs w:val="16"/>
              </w:rPr>
              <w:t>g</w:t>
            </w:r>
          </w:p>
        </w:tc>
        <w:tc>
          <w:tcPr>
            <w:tcW w:w="709" w:type="dxa"/>
            <w:shd w:val="clear" w:color="auto" w:fill="FFFFFF" w:themeFill="background1"/>
            <w:vAlign w:val="center"/>
          </w:tcPr>
          <w:p w14:paraId="0CA04FE5" w14:textId="77777777" w:rsidR="003B6BF7" w:rsidRPr="003B6BF7" w:rsidRDefault="003B6BF7" w:rsidP="003B6BF7">
            <w:pPr>
              <w:jc w:val="center"/>
              <w:rPr>
                <w:rFonts w:ascii="Arial" w:hAnsi="Arial" w:cs="Arial"/>
                <w:color w:val="000000" w:themeColor="text1"/>
                <w:sz w:val="16"/>
                <w:szCs w:val="16"/>
                <w:u w:val="single"/>
              </w:rPr>
            </w:pPr>
          </w:p>
        </w:tc>
        <w:tc>
          <w:tcPr>
            <w:tcW w:w="709" w:type="dxa"/>
            <w:shd w:val="clear" w:color="auto" w:fill="FFFFFF" w:themeFill="background1"/>
            <w:vAlign w:val="center"/>
          </w:tcPr>
          <w:p w14:paraId="7D25C1B4" w14:textId="77777777" w:rsidR="003B6BF7" w:rsidRPr="003B6BF7" w:rsidRDefault="003B6BF7" w:rsidP="003B6BF7">
            <w:pPr>
              <w:jc w:val="center"/>
              <w:rPr>
                <w:rFonts w:ascii="Arial" w:hAnsi="Arial" w:cs="Arial"/>
                <w:color w:val="000000" w:themeColor="text1"/>
                <w:sz w:val="16"/>
                <w:szCs w:val="16"/>
                <w:u w:val="single"/>
              </w:rPr>
            </w:pPr>
          </w:p>
        </w:tc>
        <w:tc>
          <w:tcPr>
            <w:tcW w:w="850" w:type="dxa"/>
            <w:shd w:val="clear" w:color="auto" w:fill="FFFFFF" w:themeFill="background1"/>
            <w:vAlign w:val="center"/>
          </w:tcPr>
          <w:p w14:paraId="2C851B77" w14:textId="77777777" w:rsidR="003B6BF7" w:rsidRPr="003B6BF7" w:rsidRDefault="003B6BF7" w:rsidP="003B6BF7">
            <w:pPr>
              <w:jc w:val="center"/>
              <w:rPr>
                <w:rFonts w:ascii="Arial" w:hAnsi="Arial" w:cs="Arial"/>
                <w:color w:val="000000" w:themeColor="text1"/>
                <w:sz w:val="16"/>
                <w:szCs w:val="16"/>
                <w:u w:val="single"/>
              </w:rPr>
            </w:pPr>
            <w:r w:rsidRPr="003B6BF7">
              <w:rPr>
                <w:rFonts w:ascii="Arial" w:hAnsi="Arial" w:cs="Arial"/>
                <w:color w:val="000000" w:themeColor="text1"/>
                <w:sz w:val="16"/>
                <w:szCs w:val="16"/>
                <w:lang w:val="en-US"/>
              </w:rPr>
              <w:t>mol</w:t>
            </w:r>
            <w:r w:rsidRPr="003B6BF7">
              <w:rPr>
                <w:rFonts w:ascii="Arial" w:hAnsi="Arial" w:cs="Arial"/>
                <w:color w:val="000000" w:themeColor="text1"/>
                <w:sz w:val="16"/>
                <w:szCs w:val="16"/>
              </w:rPr>
              <w:t>/</w:t>
            </w:r>
            <w:r w:rsidRPr="003B6BF7">
              <w:rPr>
                <w:rFonts w:ascii="Arial" w:hAnsi="Arial" w:cs="Arial"/>
                <w:color w:val="000000" w:themeColor="text1"/>
                <w:sz w:val="16"/>
                <w:szCs w:val="16"/>
                <w:lang w:val="en-US"/>
              </w:rPr>
              <w:t>k</w:t>
            </w:r>
            <w:r w:rsidRPr="003B6BF7">
              <w:rPr>
                <w:rFonts w:ascii="Arial" w:hAnsi="Arial" w:cs="Arial"/>
                <w:color w:val="000000" w:themeColor="text1"/>
                <w:sz w:val="16"/>
                <w:szCs w:val="16"/>
              </w:rPr>
              <w:t>g</w:t>
            </w:r>
          </w:p>
        </w:tc>
        <w:tc>
          <w:tcPr>
            <w:tcW w:w="791" w:type="dxa"/>
            <w:shd w:val="clear" w:color="auto" w:fill="FFFFFF" w:themeFill="background1"/>
            <w:vAlign w:val="center"/>
          </w:tcPr>
          <w:p w14:paraId="097B6E7D" w14:textId="77777777" w:rsidR="003B6BF7" w:rsidRPr="00E208B3" w:rsidRDefault="003B6BF7" w:rsidP="003B6BF7">
            <w:pPr>
              <w:jc w:val="center"/>
              <w:rPr>
                <w:rFonts w:ascii="Arial" w:hAnsi="Arial" w:cs="Arial"/>
                <w:color w:val="000000" w:themeColor="text1"/>
                <w:sz w:val="16"/>
                <w:szCs w:val="16"/>
                <w:lang w:val="en-US"/>
              </w:rPr>
            </w:pPr>
            <w:r w:rsidRPr="00E208B3">
              <w:rPr>
                <w:rFonts w:ascii="Arial" w:hAnsi="Arial" w:cs="Arial"/>
                <w:color w:val="000000" w:themeColor="text1"/>
                <w:sz w:val="16"/>
                <w:szCs w:val="16"/>
                <w:lang w:val="en-US"/>
              </w:rPr>
              <w:t>2</w:t>
            </w:r>
          </w:p>
        </w:tc>
      </w:tr>
      <w:tr w:rsidR="003B6BF7" w:rsidRPr="003B6BF7" w14:paraId="4F55179C" w14:textId="77777777" w:rsidTr="009B1751">
        <w:trPr>
          <w:trHeight w:val="987"/>
        </w:trPr>
        <w:tc>
          <w:tcPr>
            <w:tcW w:w="1016" w:type="dxa"/>
            <w:shd w:val="clear" w:color="auto" w:fill="FFFFFF" w:themeFill="background1"/>
            <w:vAlign w:val="center"/>
          </w:tcPr>
          <w:p w14:paraId="4415C9C0" w14:textId="77777777" w:rsidR="003B6BF7" w:rsidRPr="00F759C3" w:rsidRDefault="003B6BF7" w:rsidP="003B6BF7">
            <w:pPr>
              <w:jc w:val="center"/>
              <w:rPr>
                <w:rFonts w:ascii="Arial" w:hAnsi="Arial" w:cs="Arial"/>
                <w:color w:val="000000" w:themeColor="text1"/>
                <w:sz w:val="16"/>
                <w:szCs w:val="16"/>
              </w:rPr>
            </w:pPr>
            <w:proofErr w:type="spellStart"/>
            <w:r w:rsidRPr="00F759C3">
              <w:rPr>
                <w:rFonts w:ascii="Arial" w:hAnsi="Arial" w:cs="Arial"/>
                <w:color w:val="000000" w:themeColor="text1"/>
                <w:sz w:val="16"/>
                <w:szCs w:val="16"/>
              </w:rPr>
              <w:t>Advanced</w:t>
            </w:r>
            <w:proofErr w:type="spellEnd"/>
            <w:r w:rsidRPr="00F759C3">
              <w:rPr>
                <w:rFonts w:ascii="Arial" w:hAnsi="Arial" w:cs="Arial"/>
                <w:color w:val="000000" w:themeColor="text1"/>
                <w:sz w:val="16"/>
                <w:szCs w:val="16"/>
              </w:rPr>
              <w:t xml:space="preserve"> </w:t>
            </w:r>
            <w:proofErr w:type="spellStart"/>
            <w:r w:rsidRPr="00F759C3">
              <w:rPr>
                <w:rFonts w:ascii="Arial" w:hAnsi="Arial" w:cs="Arial"/>
                <w:color w:val="000000" w:themeColor="text1"/>
                <w:sz w:val="16"/>
                <w:szCs w:val="16"/>
              </w:rPr>
              <w:t>Materials</w:t>
            </w:r>
            <w:proofErr w:type="spellEnd"/>
          </w:p>
        </w:tc>
        <w:tc>
          <w:tcPr>
            <w:tcW w:w="992" w:type="dxa"/>
            <w:shd w:val="clear" w:color="auto" w:fill="FFFFFF" w:themeFill="background1"/>
            <w:vAlign w:val="center"/>
          </w:tcPr>
          <w:p w14:paraId="12E997C8" w14:textId="02642F54" w:rsidR="003B6BF7" w:rsidRPr="00F759C3" w:rsidRDefault="00211F6A" w:rsidP="003B6BF7">
            <w:pPr>
              <w:jc w:val="center"/>
              <w:rPr>
                <w:rFonts w:ascii="Arial" w:hAnsi="Arial" w:cs="Arial"/>
                <w:color w:val="000000" w:themeColor="text1"/>
                <w:sz w:val="16"/>
                <w:szCs w:val="16"/>
              </w:rPr>
            </w:pPr>
            <w:r>
              <w:rPr>
                <w:rFonts w:ascii="Arial" w:hAnsi="Arial" w:cs="Arial"/>
                <w:color w:val="000000" w:themeColor="text1"/>
                <w:sz w:val="16"/>
                <w:szCs w:val="16"/>
                <w:lang w:val="en-US"/>
              </w:rPr>
              <w:t>zeolite</w:t>
            </w:r>
          </w:p>
        </w:tc>
        <w:tc>
          <w:tcPr>
            <w:tcW w:w="1134" w:type="dxa"/>
            <w:shd w:val="clear" w:color="auto" w:fill="FFFFFF" w:themeFill="background1"/>
            <w:vAlign w:val="center"/>
          </w:tcPr>
          <w:p w14:paraId="26707CA5" w14:textId="7E04A091" w:rsidR="003B6BF7" w:rsidRPr="003B6BF7" w:rsidRDefault="00211F6A" w:rsidP="003B6BF7">
            <w:pPr>
              <w:jc w:val="center"/>
              <w:rPr>
                <w:rFonts w:ascii="Arial" w:hAnsi="Arial" w:cs="Arial"/>
                <w:color w:val="000000" w:themeColor="text1"/>
                <w:sz w:val="16"/>
                <w:szCs w:val="16"/>
                <w:u w:val="single"/>
              </w:rPr>
            </w:pPr>
            <w:r>
              <w:rPr>
                <w:rFonts w:ascii="Arial" w:hAnsi="Arial" w:cs="Arial"/>
                <w:color w:val="000000" w:themeColor="text1"/>
                <w:sz w:val="16"/>
                <w:szCs w:val="16"/>
                <w:lang w:val="en-US"/>
              </w:rPr>
              <w:t>zeolite</w:t>
            </w:r>
          </w:p>
        </w:tc>
        <w:tc>
          <w:tcPr>
            <w:tcW w:w="992" w:type="dxa"/>
            <w:shd w:val="clear" w:color="auto" w:fill="FFFFFF" w:themeFill="background1"/>
            <w:vAlign w:val="center"/>
          </w:tcPr>
          <w:p w14:paraId="446A8721" w14:textId="25C6DC3E" w:rsidR="003B6BF7" w:rsidRPr="003B6BF7" w:rsidRDefault="00211F6A" w:rsidP="003B6BF7">
            <w:pPr>
              <w:jc w:val="center"/>
              <w:rPr>
                <w:rFonts w:ascii="Arial" w:hAnsi="Arial" w:cs="Arial"/>
                <w:color w:val="000000" w:themeColor="text1"/>
                <w:sz w:val="16"/>
                <w:szCs w:val="16"/>
                <w:lang w:val="en-US"/>
              </w:rPr>
            </w:pPr>
            <w:r>
              <w:rPr>
                <w:rFonts w:ascii="Arial" w:hAnsi="Arial" w:cs="Arial"/>
                <w:color w:val="000000" w:themeColor="text1"/>
                <w:sz w:val="16"/>
                <w:szCs w:val="16"/>
                <w:lang w:val="en-US"/>
              </w:rPr>
              <w:t>S</w:t>
            </w:r>
            <w:proofErr w:type="spellStart"/>
            <w:r w:rsidR="003B6BF7" w:rsidRPr="003B6BF7">
              <w:rPr>
                <w:rFonts w:ascii="Arial" w:hAnsi="Arial" w:cs="Arial"/>
                <w:color w:val="000000" w:themeColor="text1"/>
                <w:sz w:val="16"/>
                <w:szCs w:val="16"/>
              </w:rPr>
              <w:t>pecific</w:t>
            </w:r>
            <w:proofErr w:type="spellEnd"/>
            <w:r w:rsidR="003B6BF7" w:rsidRPr="003B6BF7">
              <w:rPr>
                <w:rFonts w:ascii="Arial" w:hAnsi="Arial" w:cs="Arial"/>
                <w:color w:val="000000" w:themeColor="text1"/>
                <w:sz w:val="16"/>
                <w:szCs w:val="16"/>
              </w:rPr>
              <w:t xml:space="preserve"> </w:t>
            </w:r>
            <w:proofErr w:type="spellStart"/>
            <w:r w:rsidR="003B6BF7" w:rsidRPr="003B6BF7">
              <w:rPr>
                <w:rFonts w:ascii="Arial" w:hAnsi="Arial" w:cs="Arial"/>
                <w:color w:val="000000" w:themeColor="text1"/>
                <w:sz w:val="16"/>
                <w:szCs w:val="16"/>
              </w:rPr>
              <w:t>surface</w:t>
            </w:r>
            <w:proofErr w:type="spellEnd"/>
            <w:r w:rsidR="003B6BF7" w:rsidRPr="003B6BF7">
              <w:rPr>
                <w:rFonts w:ascii="Arial" w:hAnsi="Arial" w:cs="Arial"/>
                <w:color w:val="000000" w:themeColor="text1"/>
                <w:sz w:val="16"/>
                <w:szCs w:val="16"/>
              </w:rPr>
              <w:t xml:space="preserve"> </w:t>
            </w:r>
            <w:proofErr w:type="spellStart"/>
            <w:r w:rsidR="003B6BF7" w:rsidRPr="003B6BF7">
              <w:rPr>
                <w:rFonts w:ascii="Arial" w:hAnsi="Arial" w:cs="Arial"/>
                <w:color w:val="000000" w:themeColor="text1"/>
                <w:sz w:val="16"/>
                <w:szCs w:val="16"/>
              </w:rPr>
              <w:t>area</w:t>
            </w:r>
            <w:proofErr w:type="spellEnd"/>
          </w:p>
        </w:tc>
        <w:tc>
          <w:tcPr>
            <w:tcW w:w="709" w:type="dxa"/>
            <w:shd w:val="clear" w:color="auto" w:fill="FFFFFF" w:themeFill="background1"/>
            <w:vAlign w:val="center"/>
          </w:tcPr>
          <w:p w14:paraId="45CED7E0" w14:textId="21375CF7" w:rsidR="003B6BF7" w:rsidRPr="003B6BF7" w:rsidRDefault="00211F6A" w:rsidP="003B6BF7">
            <w:pPr>
              <w:jc w:val="center"/>
              <w:rPr>
                <w:rFonts w:ascii="Arial" w:hAnsi="Arial" w:cs="Arial"/>
                <w:color w:val="000000" w:themeColor="text1"/>
                <w:sz w:val="16"/>
                <w:szCs w:val="16"/>
                <w:lang w:val="en-US"/>
              </w:rPr>
            </w:pPr>
            <w:r>
              <w:rPr>
                <w:rFonts w:ascii="Arial" w:hAnsi="Arial" w:cs="Arial"/>
                <w:color w:val="000000" w:themeColor="text1"/>
                <w:sz w:val="16"/>
                <w:szCs w:val="16"/>
                <w:lang w:val="en-US"/>
              </w:rPr>
              <w:t>50</w:t>
            </w:r>
            <w:r w:rsidR="00E208B3">
              <w:rPr>
                <w:rFonts w:ascii="Arial" w:hAnsi="Arial" w:cs="Arial"/>
                <w:color w:val="000000" w:themeColor="text1"/>
                <w:sz w:val="16"/>
                <w:szCs w:val="16"/>
                <w:lang w:val="en-US"/>
              </w:rPr>
              <w:t>0</w:t>
            </w:r>
          </w:p>
        </w:tc>
        <w:tc>
          <w:tcPr>
            <w:tcW w:w="709" w:type="dxa"/>
            <w:shd w:val="clear" w:color="auto" w:fill="FFFFFF" w:themeFill="background1"/>
            <w:vAlign w:val="center"/>
          </w:tcPr>
          <w:p w14:paraId="2B3C92E1" w14:textId="5B6D1A9D" w:rsidR="003B6BF7" w:rsidRPr="003B6BF7" w:rsidRDefault="00211F6A" w:rsidP="003B6BF7">
            <w:pPr>
              <w:jc w:val="center"/>
              <w:rPr>
                <w:rFonts w:ascii="Arial" w:hAnsi="Arial" w:cs="Arial"/>
                <w:color w:val="000000" w:themeColor="text1"/>
                <w:sz w:val="16"/>
                <w:szCs w:val="16"/>
                <w:lang w:val="en-US"/>
              </w:rPr>
            </w:pPr>
            <w:r>
              <w:rPr>
                <w:rFonts w:ascii="Arial" w:hAnsi="Arial" w:cs="Arial"/>
                <w:color w:val="000000" w:themeColor="text1"/>
                <w:sz w:val="16"/>
                <w:szCs w:val="16"/>
                <w:lang w:val="en-US"/>
              </w:rPr>
              <w:t>15</w:t>
            </w:r>
            <w:r w:rsidR="003B6BF7" w:rsidRPr="003B6BF7">
              <w:rPr>
                <w:rFonts w:ascii="Arial" w:hAnsi="Arial" w:cs="Arial"/>
                <w:color w:val="000000" w:themeColor="text1"/>
                <w:sz w:val="16"/>
                <w:szCs w:val="16"/>
                <w:lang w:val="en-US"/>
              </w:rPr>
              <w:t>00</w:t>
            </w:r>
          </w:p>
        </w:tc>
        <w:tc>
          <w:tcPr>
            <w:tcW w:w="850" w:type="dxa"/>
            <w:shd w:val="clear" w:color="auto" w:fill="FFFFFF" w:themeFill="background1"/>
            <w:vAlign w:val="center"/>
          </w:tcPr>
          <w:p w14:paraId="4DDB87CC" w14:textId="77777777" w:rsidR="003B6BF7" w:rsidRPr="003B6BF7" w:rsidRDefault="003B6BF7" w:rsidP="003B6BF7">
            <w:pPr>
              <w:jc w:val="center"/>
              <w:rPr>
                <w:rFonts w:ascii="Arial" w:hAnsi="Arial" w:cs="Arial"/>
                <w:color w:val="000000" w:themeColor="text1"/>
                <w:sz w:val="16"/>
                <w:szCs w:val="16"/>
                <w:lang w:val="en-US"/>
              </w:rPr>
            </w:pPr>
            <w:bookmarkStart w:id="8" w:name="OLE_LINK90"/>
            <w:bookmarkStart w:id="9" w:name="OLE_LINK91"/>
            <w:bookmarkStart w:id="10" w:name="OLE_LINK92"/>
            <w:r w:rsidRPr="003B6BF7">
              <w:rPr>
                <w:rFonts w:ascii="Arial" w:hAnsi="Arial" w:cs="Arial"/>
                <w:color w:val="000000" w:themeColor="text1"/>
                <w:sz w:val="16"/>
                <w:szCs w:val="16"/>
              </w:rPr>
              <w:t>m</w:t>
            </w:r>
            <w:r w:rsidRPr="003B6BF7">
              <w:rPr>
                <w:rFonts w:ascii="Arial" w:hAnsi="Arial" w:cs="Arial"/>
                <w:color w:val="000000" w:themeColor="text1"/>
                <w:sz w:val="16"/>
                <w:szCs w:val="16"/>
                <w:vertAlign w:val="superscript"/>
              </w:rPr>
              <w:t>2</w:t>
            </w:r>
            <w:r w:rsidRPr="003B6BF7">
              <w:rPr>
                <w:rFonts w:ascii="Arial" w:hAnsi="Arial" w:cs="Arial"/>
                <w:color w:val="000000" w:themeColor="text1"/>
                <w:sz w:val="16"/>
                <w:szCs w:val="16"/>
              </w:rPr>
              <w:t>/g</w:t>
            </w:r>
            <w:bookmarkEnd w:id="8"/>
            <w:bookmarkEnd w:id="9"/>
            <w:bookmarkEnd w:id="10"/>
          </w:p>
        </w:tc>
        <w:tc>
          <w:tcPr>
            <w:tcW w:w="709" w:type="dxa"/>
            <w:shd w:val="clear" w:color="auto" w:fill="FFFFFF" w:themeFill="background1"/>
            <w:vAlign w:val="center"/>
          </w:tcPr>
          <w:p w14:paraId="79F57094" w14:textId="77777777" w:rsidR="003B6BF7" w:rsidRPr="003B6BF7" w:rsidRDefault="003B6BF7" w:rsidP="003B6BF7">
            <w:pPr>
              <w:jc w:val="center"/>
              <w:rPr>
                <w:rFonts w:ascii="Arial" w:hAnsi="Arial" w:cs="Arial"/>
                <w:color w:val="000000" w:themeColor="text1"/>
                <w:sz w:val="16"/>
                <w:szCs w:val="16"/>
                <w:u w:val="single"/>
              </w:rPr>
            </w:pPr>
          </w:p>
        </w:tc>
        <w:tc>
          <w:tcPr>
            <w:tcW w:w="709" w:type="dxa"/>
            <w:shd w:val="clear" w:color="auto" w:fill="FFFFFF" w:themeFill="background1"/>
            <w:vAlign w:val="center"/>
          </w:tcPr>
          <w:p w14:paraId="57ECC4F1" w14:textId="77777777" w:rsidR="003B6BF7" w:rsidRPr="003B6BF7" w:rsidRDefault="003B6BF7" w:rsidP="003B6BF7">
            <w:pPr>
              <w:jc w:val="center"/>
              <w:rPr>
                <w:rFonts w:ascii="Arial" w:hAnsi="Arial" w:cs="Arial"/>
                <w:color w:val="000000" w:themeColor="text1"/>
                <w:sz w:val="16"/>
                <w:szCs w:val="16"/>
                <w:u w:val="single"/>
              </w:rPr>
            </w:pPr>
          </w:p>
        </w:tc>
        <w:tc>
          <w:tcPr>
            <w:tcW w:w="850" w:type="dxa"/>
            <w:shd w:val="clear" w:color="auto" w:fill="FFFFFF" w:themeFill="background1"/>
            <w:vAlign w:val="center"/>
          </w:tcPr>
          <w:p w14:paraId="314C3009" w14:textId="77777777" w:rsidR="003B6BF7" w:rsidRPr="003B6BF7" w:rsidRDefault="003B6BF7" w:rsidP="003B6BF7">
            <w:pPr>
              <w:jc w:val="center"/>
              <w:rPr>
                <w:rFonts w:ascii="Arial" w:hAnsi="Arial" w:cs="Arial"/>
                <w:color w:val="000000" w:themeColor="text1"/>
                <w:sz w:val="16"/>
                <w:szCs w:val="16"/>
                <w:lang w:val="en-US"/>
              </w:rPr>
            </w:pPr>
            <w:r w:rsidRPr="003B6BF7">
              <w:rPr>
                <w:rFonts w:ascii="Arial" w:hAnsi="Arial" w:cs="Arial"/>
                <w:color w:val="000000" w:themeColor="text1"/>
                <w:sz w:val="16"/>
                <w:szCs w:val="16"/>
              </w:rPr>
              <w:t>m</w:t>
            </w:r>
            <w:r w:rsidRPr="003B6BF7">
              <w:rPr>
                <w:rFonts w:ascii="Arial" w:hAnsi="Arial" w:cs="Arial"/>
                <w:color w:val="000000" w:themeColor="text1"/>
                <w:sz w:val="16"/>
                <w:szCs w:val="16"/>
                <w:vertAlign w:val="superscript"/>
              </w:rPr>
              <w:t>2</w:t>
            </w:r>
            <w:r w:rsidRPr="003B6BF7">
              <w:rPr>
                <w:rFonts w:ascii="Arial" w:hAnsi="Arial" w:cs="Arial"/>
                <w:color w:val="000000" w:themeColor="text1"/>
                <w:sz w:val="16"/>
                <w:szCs w:val="16"/>
              </w:rPr>
              <w:t>/g</w:t>
            </w:r>
          </w:p>
        </w:tc>
        <w:tc>
          <w:tcPr>
            <w:tcW w:w="791" w:type="dxa"/>
            <w:shd w:val="clear" w:color="auto" w:fill="FFFFFF" w:themeFill="background1"/>
            <w:vAlign w:val="center"/>
          </w:tcPr>
          <w:p w14:paraId="52DBA4FB" w14:textId="77777777" w:rsidR="003B6BF7" w:rsidRPr="00E208B3" w:rsidRDefault="003B6BF7" w:rsidP="003B6BF7">
            <w:pPr>
              <w:jc w:val="center"/>
              <w:rPr>
                <w:rFonts w:ascii="Arial" w:hAnsi="Arial" w:cs="Arial"/>
                <w:color w:val="000000" w:themeColor="text1"/>
                <w:sz w:val="16"/>
                <w:szCs w:val="16"/>
                <w:lang w:val="en-US"/>
              </w:rPr>
            </w:pPr>
            <w:r w:rsidRPr="00E208B3">
              <w:rPr>
                <w:rFonts w:ascii="Arial" w:hAnsi="Arial" w:cs="Arial"/>
                <w:color w:val="000000" w:themeColor="text1"/>
                <w:sz w:val="16"/>
                <w:szCs w:val="16"/>
                <w:lang w:val="en-US"/>
              </w:rPr>
              <w:t>2</w:t>
            </w:r>
          </w:p>
        </w:tc>
      </w:tr>
      <w:bookmarkEnd w:id="6"/>
      <w:bookmarkEnd w:id="7"/>
    </w:tbl>
    <w:p w14:paraId="52F37398" w14:textId="77777777" w:rsidR="002404E4" w:rsidRDefault="002404E4" w:rsidP="00B34BEA">
      <w:pPr>
        <w:jc w:val="both"/>
        <w:rPr>
          <w:b/>
          <w:bCs/>
          <w:szCs w:val="20"/>
          <w:lang w:val="en-GB"/>
        </w:rPr>
      </w:pPr>
    </w:p>
    <w:p w14:paraId="60A67BC3" w14:textId="77777777" w:rsidR="006E3327" w:rsidRDefault="006E3327" w:rsidP="00B34BEA">
      <w:pPr>
        <w:jc w:val="both"/>
        <w:rPr>
          <w:b/>
          <w:bCs/>
          <w:szCs w:val="20"/>
          <w:lang w:val="en-GB"/>
        </w:rPr>
      </w:pPr>
      <w:r>
        <w:rPr>
          <w:b/>
          <w:bCs/>
          <w:szCs w:val="20"/>
          <w:lang w:val="en-GB"/>
        </w:rPr>
        <w:t>2. Measurand and reporting</w:t>
      </w:r>
    </w:p>
    <w:p w14:paraId="6DE6D71B" w14:textId="7526A31D" w:rsidR="006E3327" w:rsidRPr="00302558" w:rsidRDefault="00211F6A" w:rsidP="00C56FE3">
      <w:pPr>
        <w:ind w:firstLine="709"/>
        <w:jc w:val="both"/>
        <w:rPr>
          <w:b/>
          <w:bCs/>
          <w:color w:val="000000" w:themeColor="text1"/>
          <w:szCs w:val="20"/>
          <w:lang w:val="en-US"/>
        </w:rPr>
      </w:pPr>
      <w:r w:rsidRPr="00211F6A">
        <w:rPr>
          <w:color w:val="000000" w:themeColor="text1"/>
          <w:szCs w:val="20"/>
          <w:lang w:val="en-US"/>
        </w:rPr>
        <w:t>The primary measurand</w:t>
      </w:r>
      <w:r w:rsidR="006E3327" w:rsidRPr="00211F6A">
        <w:rPr>
          <w:color w:val="000000" w:themeColor="text1"/>
          <w:szCs w:val="20"/>
          <w:lang w:val="en-US"/>
        </w:rPr>
        <w:t xml:space="preserve"> value</w:t>
      </w:r>
      <w:r w:rsidR="009B1751" w:rsidRPr="00211F6A">
        <w:rPr>
          <w:color w:val="000000" w:themeColor="text1"/>
          <w:szCs w:val="20"/>
          <w:lang w:val="en-US"/>
        </w:rPr>
        <w:t>s</w:t>
      </w:r>
      <w:r w:rsidR="006E3327" w:rsidRPr="00211F6A">
        <w:rPr>
          <w:color w:val="000000" w:themeColor="text1"/>
          <w:szCs w:val="20"/>
          <w:lang w:val="en-US"/>
        </w:rPr>
        <w:t xml:space="preserve"> </w:t>
      </w:r>
      <w:bookmarkStart w:id="11" w:name="OLE_LINK131"/>
      <w:bookmarkStart w:id="12" w:name="OLE_LINK132"/>
      <w:bookmarkStart w:id="13" w:name="OLE_LINK124"/>
      <w:bookmarkStart w:id="14" w:name="OLE_LINK110"/>
      <w:bookmarkStart w:id="15" w:name="OLE_LINK111"/>
      <w:bookmarkStart w:id="16" w:name="OLE_LINK112"/>
      <w:bookmarkStart w:id="17" w:name="OLE_LINK133"/>
      <w:bookmarkStart w:id="18" w:name="OLE_LINK134"/>
      <w:r w:rsidR="0050155F" w:rsidRPr="00211F6A">
        <w:rPr>
          <w:color w:val="000000" w:themeColor="text1"/>
          <w:szCs w:val="20"/>
          <w:lang w:val="en-US"/>
        </w:rPr>
        <w:t xml:space="preserve">for CCQM-K___ are </w:t>
      </w:r>
      <w:r w:rsidR="003B6BF7" w:rsidRPr="00211F6A">
        <w:rPr>
          <w:color w:val="000000" w:themeColor="text1"/>
          <w:lang w:val="en-US"/>
        </w:rPr>
        <w:t xml:space="preserve">specific adsorption </w:t>
      </w:r>
      <w:r w:rsidR="000241A8" w:rsidRPr="00211F6A">
        <w:rPr>
          <w:color w:val="000000" w:themeColor="text1"/>
          <w:lang w:val="en-US"/>
        </w:rPr>
        <w:t xml:space="preserve">of </w:t>
      </w:r>
      <w:r w:rsidRPr="00211F6A">
        <w:rPr>
          <w:color w:val="000000" w:themeColor="text1"/>
          <w:lang w:val="en-US"/>
        </w:rPr>
        <w:t xml:space="preserve">argon on zeolite at </w:t>
      </w:r>
      <w:r w:rsidRPr="00E77DDC">
        <w:rPr>
          <w:color w:val="000000" w:themeColor="text1"/>
          <w:lang w:val="en-US"/>
        </w:rPr>
        <w:t>liquid argon temperature</w:t>
      </w:r>
      <w:r w:rsidRPr="00211F6A">
        <w:rPr>
          <w:color w:val="000000" w:themeColor="text1"/>
          <w:lang w:val="en-US"/>
        </w:rPr>
        <w:t xml:space="preserve">. Derived from that data the secondary measurand </w:t>
      </w:r>
      <w:proofErr w:type="gramStart"/>
      <w:r w:rsidRPr="00211F6A">
        <w:rPr>
          <w:color w:val="000000" w:themeColor="text1"/>
          <w:lang w:val="en-US"/>
        </w:rPr>
        <w:t>are</w:t>
      </w:r>
      <w:r w:rsidR="003B6BF7" w:rsidRPr="00211F6A">
        <w:rPr>
          <w:color w:val="000000" w:themeColor="text1"/>
          <w:lang w:val="en-US"/>
        </w:rPr>
        <w:t xml:space="preserve">  specific</w:t>
      </w:r>
      <w:proofErr w:type="gramEnd"/>
      <w:r w:rsidR="003B6BF7" w:rsidRPr="00211F6A">
        <w:rPr>
          <w:color w:val="000000" w:themeColor="text1"/>
          <w:lang w:val="en-US"/>
        </w:rPr>
        <w:t xml:space="preserve"> surface area, specific</w:t>
      </w:r>
      <w:r w:rsidR="00E22C1B" w:rsidRPr="00211F6A">
        <w:rPr>
          <w:color w:val="000000" w:themeColor="text1"/>
          <w:lang w:val="en-US"/>
        </w:rPr>
        <w:t xml:space="preserve"> pore </w:t>
      </w:r>
      <w:r w:rsidR="003B6BF7" w:rsidRPr="00211F6A">
        <w:rPr>
          <w:color w:val="000000" w:themeColor="text1"/>
          <w:lang w:val="en-US"/>
        </w:rPr>
        <w:t xml:space="preserve">volume and pore diameter </w:t>
      </w:r>
      <w:bookmarkEnd w:id="11"/>
      <w:bookmarkEnd w:id="12"/>
      <w:r w:rsidR="003B6BF7" w:rsidRPr="00211F6A">
        <w:rPr>
          <w:color w:val="000000" w:themeColor="text1"/>
          <w:lang w:val="en-US"/>
        </w:rPr>
        <w:t xml:space="preserve">of </w:t>
      </w:r>
      <w:bookmarkEnd w:id="13"/>
      <w:bookmarkEnd w:id="14"/>
      <w:bookmarkEnd w:id="15"/>
      <w:bookmarkEnd w:id="16"/>
      <w:bookmarkEnd w:id="17"/>
      <w:bookmarkEnd w:id="18"/>
      <w:r w:rsidRPr="00211F6A">
        <w:rPr>
          <w:color w:val="000000" w:themeColor="text1"/>
          <w:lang w:val="en-US"/>
        </w:rPr>
        <w:t>zeolite</w:t>
      </w:r>
      <w:r w:rsidR="006E3327" w:rsidRPr="00211F6A">
        <w:rPr>
          <w:color w:val="000000" w:themeColor="text1"/>
          <w:szCs w:val="20"/>
          <w:lang w:val="en-US"/>
        </w:rPr>
        <w:t>.</w:t>
      </w:r>
      <w:r w:rsidRPr="00211F6A">
        <w:rPr>
          <w:color w:val="000000" w:themeColor="text1"/>
          <w:lang w:val="en-US"/>
        </w:rPr>
        <w:t xml:space="preserve"> </w:t>
      </w:r>
      <w:r w:rsidRPr="00302558">
        <w:rPr>
          <w:b/>
          <w:bCs/>
          <w:color w:val="000000" w:themeColor="text1"/>
          <w:lang w:val="en-US"/>
        </w:rPr>
        <w:t>Only for specific adsorption of argon</w:t>
      </w:r>
      <w:r w:rsidRPr="00302558">
        <w:rPr>
          <w:b/>
          <w:bCs/>
          <w:color w:val="000000" w:themeColor="text1"/>
          <w:szCs w:val="20"/>
          <w:lang w:val="en-US"/>
        </w:rPr>
        <w:t xml:space="preserve"> and </w:t>
      </w:r>
      <w:r w:rsidRPr="00302558">
        <w:rPr>
          <w:b/>
          <w:bCs/>
          <w:color w:val="000000" w:themeColor="text1"/>
          <w:lang w:val="en-US"/>
        </w:rPr>
        <w:t xml:space="preserve">specific surface area KCRV will be established.  </w:t>
      </w:r>
      <w:r w:rsidR="00302558">
        <w:rPr>
          <w:b/>
          <w:bCs/>
          <w:color w:val="000000" w:themeColor="text1"/>
          <w:lang w:val="en-US"/>
        </w:rPr>
        <w:t>RV will be established for s</w:t>
      </w:r>
      <w:r w:rsidR="00302558" w:rsidRPr="00302558">
        <w:rPr>
          <w:b/>
          <w:bCs/>
          <w:lang w:val="en-US"/>
        </w:rPr>
        <w:t>pecific pore volume and pore diameter</w:t>
      </w:r>
      <w:r w:rsidR="00302558">
        <w:rPr>
          <w:b/>
          <w:bCs/>
          <w:lang w:val="en-US"/>
        </w:rPr>
        <w:t xml:space="preserve"> only for information.</w:t>
      </w:r>
    </w:p>
    <w:p w14:paraId="333AAECF" w14:textId="77777777" w:rsidR="00211F6A" w:rsidRPr="00211F6A" w:rsidRDefault="006E3327" w:rsidP="006A2F5F">
      <w:pPr>
        <w:ind w:firstLine="709"/>
        <w:jc w:val="both"/>
        <w:rPr>
          <w:color w:val="000000" w:themeColor="text1"/>
          <w:szCs w:val="20"/>
          <w:lang w:val="en-GB"/>
        </w:rPr>
      </w:pPr>
      <w:r w:rsidRPr="00211F6A">
        <w:rPr>
          <w:color w:val="000000" w:themeColor="text1"/>
          <w:szCs w:val="20"/>
          <w:lang w:val="en-GB"/>
        </w:rPr>
        <w:t xml:space="preserve">Each participant shall report the results for the values </w:t>
      </w:r>
      <w:r w:rsidRPr="00211F6A">
        <w:rPr>
          <w:color w:val="000000" w:themeColor="text1"/>
          <w:szCs w:val="20"/>
          <w:lang w:val="en-US"/>
        </w:rPr>
        <w:t xml:space="preserve">of </w:t>
      </w:r>
      <w:r w:rsidR="009B1751" w:rsidRPr="00211F6A">
        <w:rPr>
          <w:color w:val="000000" w:themeColor="text1"/>
          <w:lang w:val="en-US"/>
        </w:rPr>
        <w:t xml:space="preserve">specific adsorption </w:t>
      </w:r>
      <w:r w:rsidR="00211F6A" w:rsidRPr="00211F6A">
        <w:rPr>
          <w:color w:val="000000" w:themeColor="text1"/>
          <w:lang w:val="en-US"/>
        </w:rPr>
        <w:t>argon</w:t>
      </w:r>
      <w:r w:rsidR="009B1751" w:rsidRPr="00211F6A">
        <w:rPr>
          <w:color w:val="000000" w:themeColor="text1"/>
          <w:lang w:val="en-US"/>
        </w:rPr>
        <w:t xml:space="preserve">, specific surface area, specific </w:t>
      </w:r>
      <w:r w:rsidR="00E22C1B" w:rsidRPr="00211F6A">
        <w:rPr>
          <w:color w:val="000000" w:themeColor="text1"/>
          <w:lang w:val="en-US"/>
        </w:rPr>
        <w:t xml:space="preserve">pore </w:t>
      </w:r>
      <w:r w:rsidR="009B1751" w:rsidRPr="00211F6A">
        <w:rPr>
          <w:color w:val="000000" w:themeColor="text1"/>
          <w:lang w:val="en-US"/>
        </w:rPr>
        <w:t xml:space="preserve">volume and pore diameter of </w:t>
      </w:r>
      <w:r w:rsidR="00211F6A" w:rsidRPr="00211F6A">
        <w:rPr>
          <w:color w:val="000000" w:themeColor="text1"/>
          <w:lang w:val="en-US"/>
        </w:rPr>
        <w:t>zeolite</w:t>
      </w:r>
      <w:r w:rsidRPr="00211F6A">
        <w:rPr>
          <w:color w:val="000000" w:themeColor="text1"/>
          <w:szCs w:val="20"/>
          <w:lang w:val="en-GB"/>
        </w:rPr>
        <w:t>. The results should be reported accompanied by a full uncertainty statement (including a combined standard uncertainty and an expanded uncertainty with a coverage factor applied).</w:t>
      </w:r>
    </w:p>
    <w:p w14:paraId="59BAFCA6" w14:textId="18941999" w:rsidR="00211F6A" w:rsidRPr="00211F6A" w:rsidRDefault="00211F6A" w:rsidP="006A2F5F">
      <w:pPr>
        <w:ind w:firstLine="709"/>
        <w:jc w:val="both"/>
        <w:rPr>
          <w:color w:val="000000" w:themeColor="text1"/>
          <w:szCs w:val="20"/>
          <w:lang w:val="en-GB"/>
        </w:rPr>
      </w:pPr>
      <w:r w:rsidRPr="00211F6A">
        <w:rPr>
          <w:color w:val="000000" w:themeColor="text1"/>
          <w:szCs w:val="20"/>
          <w:lang w:val="en-GB"/>
        </w:rPr>
        <w:t>For the estimation of the measurement uncertainty for specific adsorption of gases these issues have to be taken into account:</w:t>
      </w:r>
      <w:r w:rsidRPr="00211F6A">
        <w:rPr>
          <w:color w:val="000000" w:themeColor="text1"/>
          <w:szCs w:val="20"/>
          <w:lang w:val="en-US"/>
        </w:rPr>
        <w:t xml:space="preserve"> </w:t>
      </w:r>
      <w:r w:rsidRPr="00211F6A">
        <w:rPr>
          <w:color w:val="000000" w:themeColor="text1"/>
          <w:lang w:val="en-US"/>
        </w:rPr>
        <w:t xml:space="preserve">mass of the analyzed sample, system volume, initial pressures, pressures after reaching equilibrium, gas temperatures, sample holder volume at cryogenic bath temperature, </w:t>
      </w:r>
      <w:r w:rsidRPr="00211F6A">
        <w:rPr>
          <w:color w:val="000000" w:themeColor="text1"/>
          <w:szCs w:val="20"/>
          <w:lang w:val="en-GB"/>
        </w:rPr>
        <w:t>free space volume with sample holder immersed in cryogenic bath and</w:t>
      </w:r>
      <w:r w:rsidRPr="00211F6A">
        <w:rPr>
          <w:color w:val="000000" w:themeColor="text1"/>
          <w:szCs w:val="20"/>
          <w:lang w:val="en-US"/>
        </w:rPr>
        <w:t xml:space="preserve"> uncertainty due to interpolation</w:t>
      </w:r>
      <w:r w:rsidRPr="00211F6A">
        <w:rPr>
          <w:color w:val="000000" w:themeColor="text1"/>
          <w:szCs w:val="20"/>
          <w:lang w:val="en-GB"/>
        </w:rPr>
        <w:t>.</w:t>
      </w:r>
    </w:p>
    <w:p w14:paraId="4BD71CE5" w14:textId="37F0437A" w:rsidR="00BA4E31" w:rsidRDefault="006E3327" w:rsidP="006A2F5F">
      <w:pPr>
        <w:ind w:firstLine="709"/>
        <w:jc w:val="both"/>
        <w:rPr>
          <w:szCs w:val="20"/>
          <w:lang w:val="en-GB"/>
        </w:rPr>
      </w:pPr>
      <w:r>
        <w:rPr>
          <w:szCs w:val="20"/>
          <w:lang w:val="en-GB"/>
        </w:rPr>
        <w:t xml:space="preserve"> In </w:t>
      </w:r>
      <w:proofErr w:type="gramStart"/>
      <w:r>
        <w:rPr>
          <w:szCs w:val="20"/>
          <w:lang w:val="en-GB"/>
        </w:rPr>
        <w:t>addition</w:t>
      </w:r>
      <w:proofErr w:type="gramEnd"/>
      <w:r>
        <w:rPr>
          <w:szCs w:val="20"/>
          <w:lang w:val="en-GB"/>
        </w:rPr>
        <w:t xml:space="preserve"> the report should include technical details on the measurement procedure, traceability links </w:t>
      </w:r>
      <w:r w:rsidR="0050155F">
        <w:rPr>
          <w:szCs w:val="20"/>
          <w:lang w:val="en-GB"/>
        </w:rPr>
        <w:t xml:space="preserve">(as calibrations) </w:t>
      </w:r>
      <w:r>
        <w:rPr>
          <w:szCs w:val="20"/>
          <w:lang w:val="en-GB"/>
        </w:rPr>
        <w:t>and uncertainty contributions.</w:t>
      </w:r>
      <w:r w:rsidR="00EE40AE">
        <w:rPr>
          <w:szCs w:val="20"/>
          <w:lang w:val="en-US"/>
        </w:rPr>
        <w:t xml:space="preserve"> </w:t>
      </w:r>
      <w:r w:rsidR="00BA4E31">
        <w:rPr>
          <w:szCs w:val="20"/>
          <w:lang w:val="en-GB"/>
        </w:rPr>
        <w:t>Each of report should include tabular reports and graphs for the isotherm</w:t>
      </w:r>
      <w:r w:rsidR="00EE40AE">
        <w:rPr>
          <w:szCs w:val="20"/>
          <w:lang w:val="en-GB"/>
        </w:rPr>
        <w:t xml:space="preserve"> (dependence specific adsorption from relative pressure)</w:t>
      </w:r>
      <w:r w:rsidR="0050155F">
        <w:rPr>
          <w:szCs w:val="20"/>
          <w:lang w:val="en-GB"/>
        </w:rPr>
        <w:t xml:space="preserve"> and</w:t>
      </w:r>
      <w:r w:rsidR="00EE40AE">
        <w:rPr>
          <w:szCs w:val="20"/>
          <w:lang w:val="en-GB"/>
        </w:rPr>
        <w:t xml:space="preserve"> for the </w:t>
      </w:r>
      <w:r w:rsidR="00302558" w:rsidRPr="00211F6A">
        <w:rPr>
          <w:color w:val="000000" w:themeColor="text1"/>
          <w:lang w:val="en-US"/>
        </w:rPr>
        <w:t>specific surface area</w:t>
      </w:r>
      <w:r w:rsidR="00BA4E31">
        <w:rPr>
          <w:szCs w:val="20"/>
          <w:lang w:val="en-GB"/>
        </w:rPr>
        <w:t xml:space="preserve"> </w:t>
      </w:r>
    </w:p>
    <w:p w14:paraId="167C6139" w14:textId="77777777" w:rsidR="009B1751" w:rsidRPr="009B1751" w:rsidRDefault="009B1751" w:rsidP="009B1751">
      <w:pPr>
        <w:jc w:val="both"/>
        <w:rPr>
          <w:lang w:val="en-US"/>
        </w:rPr>
      </w:pPr>
    </w:p>
    <w:p w14:paraId="3CAA8DFE" w14:textId="77777777" w:rsidR="006E3327" w:rsidRPr="008C6B79" w:rsidRDefault="006E3327" w:rsidP="000B423A">
      <w:pPr>
        <w:jc w:val="both"/>
        <w:rPr>
          <w:b/>
          <w:bCs/>
          <w:szCs w:val="20"/>
          <w:lang w:val="en-GB"/>
        </w:rPr>
      </w:pPr>
      <w:r>
        <w:rPr>
          <w:b/>
          <w:bCs/>
          <w:szCs w:val="20"/>
          <w:lang w:val="en-GB"/>
        </w:rPr>
        <w:t xml:space="preserve">3. Guidance values </w:t>
      </w:r>
      <w:r w:rsidRPr="008C6B79">
        <w:rPr>
          <w:b/>
          <w:bCs/>
          <w:szCs w:val="20"/>
          <w:lang w:val="en-GB"/>
        </w:rPr>
        <w:t xml:space="preserve">and target uncertainty </w:t>
      </w:r>
    </w:p>
    <w:p w14:paraId="76160B48" w14:textId="7DE133BE" w:rsidR="006E3327" w:rsidRDefault="006E3327" w:rsidP="005E3BAF">
      <w:pPr>
        <w:ind w:firstLine="708"/>
        <w:jc w:val="both"/>
        <w:rPr>
          <w:szCs w:val="20"/>
          <w:lang w:val="en-US"/>
        </w:rPr>
      </w:pPr>
      <w:r w:rsidRPr="008C6B79">
        <w:rPr>
          <w:szCs w:val="20"/>
          <w:lang w:val="en-GB"/>
        </w:rPr>
        <w:t xml:space="preserve">Analyte/matrix: </w:t>
      </w:r>
      <w:r w:rsidR="0050155F">
        <w:rPr>
          <w:szCs w:val="20"/>
          <w:lang w:val="en-GB"/>
        </w:rPr>
        <w:t>T</w:t>
      </w:r>
      <w:r w:rsidR="0050155F" w:rsidRPr="008C6B79">
        <w:rPr>
          <w:szCs w:val="20"/>
          <w:lang w:val="en-GB"/>
        </w:rPr>
        <w:t xml:space="preserve">he </w:t>
      </w:r>
      <w:r w:rsidR="0050155F">
        <w:rPr>
          <w:szCs w:val="20"/>
          <w:lang w:val="en-GB"/>
        </w:rPr>
        <w:t>test material used for</w:t>
      </w:r>
      <w:r w:rsidR="00211F6A">
        <w:rPr>
          <w:szCs w:val="20"/>
          <w:lang w:val="en-GB"/>
        </w:rPr>
        <w:t xml:space="preserve"> </w:t>
      </w:r>
      <w:r w:rsidR="0050155F">
        <w:rPr>
          <w:szCs w:val="20"/>
          <w:lang w:val="en-GB"/>
        </w:rPr>
        <w:t>the</w:t>
      </w:r>
      <w:r w:rsidRPr="008C6B79">
        <w:rPr>
          <w:szCs w:val="20"/>
          <w:lang w:val="en-GB"/>
        </w:rPr>
        <w:t xml:space="preserve"> comparisons </w:t>
      </w:r>
      <w:r w:rsidR="0050155F">
        <w:rPr>
          <w:szCs w:val="20"/>
          <w:lang w:val="en-GB"/>
        </w:rPr>
        <w:t>is</w:t>
      </w:r>
      <w:r w:rsidR="0050155F" w:rsidRPr="008C6B79">
        <w:rPr>
          <w:szCs w:val="20"/>
          <w:lang w:val="en-GB"/>
        </w:rPr>
        <w:t xml:space="preserve"> </w:t>
      </w:r>
      <w:r w:rsidR="00211F6A">
        <w:rPr>
          <w:szCs w:val="20"/>
          <w:lang w:val="en-US"/>
        </w:rPr>
        <w:t>zeolite</w:t>
      </w:r>
      <w:r w:rsidR="00180937">
        <w:rPr>
          <w:szCs w:val="20"/>
          <w:lang w:val="en-GB"/>
        </w:rPr>
        <w:t xml:space="preserve">. </w:t>
      </w:r>
      <w:r w:rsidR="008A5A66">
        <w:rPr>
          <w:szCs w:val="20"/>
          <w:lang w:val="en-GB"/>
        </w:rPr>
        <w:t>A r</w:t>
      </w:r>
      <w:proofErr w:type="spellStart"/>
      <w:r w:rsidR="008A5A66">
        <w:rPr>
          <w:szCs w:val="20"/>
          <w:lang w:val="en-US"/>
        </w:rPr>
        <w:t>ange</w:t>
      </w:r>
      <w:proofErr w:type="spellEnd"/>
      <w:r w:rsidR="008A5A66">
        <w:rPr>
          <w:szCs w:val="20"/>
          <w:lang w:val="en-US"/>
        </w:rPr>
        <w:t xml:space="preserve"> of measurands and target uncertainty are shown in table 2. </w:t>
      </w:r>
      <w:r w:rsidR="0050155F">
        <w:rPr>
          <w:szCs w:val="20"/>
          <w:lang w:val="en-GB"/>
        </w:rPr>
        <w:t>A r</w:t>
      </w:r>
      <w:proofErr w:type="spellStart"/>
      <w:r w:rsidR="00180937">
        <w:rPr>
          <w:szCs w:val="20"/>
          <w:lang w:val="en-US"/>
        </w:rPr>
        <w:t>ange</w:t>
      </w:r>
      <w:proofErr w:type="spellEnd"/>
      <w:r w:rsidR="00180937">
        <w:rPr>
          <w:szCs w:val="20"/>
          <w:lang w:val="en-US"/>
        </w:rPr>
        <w:t xml:space="preserve"> of </w:t>
      </w:r>
      <w:r w:rsidR="008A5A66">
        <w:rPr>
          <w:szCs w:val="20"/>
          <w:lang w:val="en-US"/>
        </w:rPr>
        <w:t xml:space="preserve">informative </w:t>
      </w:r>
      <w:r w:rsidR="00180937">
        <w:rPr>
          <w:szCs w:val="20"/>
          <w:lang w:val="en-US"/>
        </w:rPr>
        <w:t>characteristic</w:t>
      </w:r>
      <w:r w:rsidR="0050155F">
        <w:rPr>
          <w:szCs w:val="20"/>
          <w:lang w:val="en-US"/>
        </w:rPr>
        <w:t xml:space="preserve"> parameter</w:t>
      </w:r>
      <w:r w:rsidR="00180937">
        <w:rPr>
          <w:szCs w:val="20"/>
          <w:lang w:val="en-US"/>
        </w:rPr>
        <w:t xml:space="preserve">s and target uncertainty are shown in table </w:t>
      </w:r>
      <w:r w:rsidR="008A5A66">
        <w:rPr>
          <w:szCs w:val="20"/>
          <w:lang w:val="en-US"/>
        </w:rPr>
        <w:t>3</w:t>
      </w:r>
      <w:r w:rsidR="007D110F">
        <w:rPr>
          <w:szCs w:val="20"/>
          <w:lang w:val="en-US"/>
        </w:rPr>
        <w:t>.</w:t>
      </w:r>
      <w:r w:rsidR="00302558">
        <w:rPr>
          <w:szCs w:val="20"/>
          <w:lang w:val="en-US"/>
        </w:rPr>
        <w:t xml:space="preserve"> Points of relative pressure of argon for specific adsorption of </w:t>
      </w:r>
      <w:proofErr w:type="spellStart"/>
      <w:r w:rsidR="00302558">
        <w:rPr>
          <w:szCs w:val="20"/>
          <w:lang w:val="en-US"/>
        </w:rPr>
        <w:t>Ar</w:t>
      </w:r>
      <w:proofErr w:type="spellEnd"/>
      <w:r w:rsidR="00302558">
        <w:rPr>
          <w:szCs w:val="20"/>
          <w:lang w:val="en-US"/>
        </w:rPr>
        <w:t xml:space="preserve"> is presented in  table 4. </w:t>
      </w:r>
    </w:p>
    <w:p w14:paraId="46BBCA55" w14:textId="77777777" w:rsidR="0050155F" w:rsidRDefault="0050155F" w:rsidP="005E3BAF">
      <w:pPr>
        <w:ind w:firstLine="708"/>
        <w:jc w:val="both"/>
        <w:rPr>
          <w:szCs w:val="20"/>
          <w:lang w:val="en-US"/>
        </w:rPr>
      </w:pPr>
    </w:p>
    <w:p w14:paraId="2D4DFE6A" w14:textId="207BB0A7" w:rsidR="00180937" w:rsidRPr="008A5A66" w:rsidRDefault="00180937" w:rsidP="005E3BAF">
      <w:pPr>
        <w:ind w:firstLine="708"/>
        <w:jc w:val="both"/>
        <w:rPr>
          <w:b/>
          <w:szCs w:val="20"/>
        </w:rPr>
      </w:pPr>
      <w:r w:rsidRPr="0050155F">
        <w:rPr>
          <w:b/>
          <w:szCs w:val="20"/>
          <w:lang w:val="en-US"/>
        </w:rPr>
        <w:t>Table 2</w:t>
      </w:r>
      <w:r w:rsidR="008A5A66">
        <w:rPr>
          <w:b/>
          <w:szCs w:val="20"/>
        </w:rPr>
        <w:t xml:space="preserve"> </w:t>
      </w:r>
    </w:p>
    <w:tbl>
      <w:tblPr>
        <w:tblW w:w="966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717"/>
        <w:gridCol w:w="2410"/>
        <w:gridCol w:w="2410"/>
        <w:gridCol w:w="2127"/>
      </w:tblGrid>
      <w:tr w:rsidR="00211F6A" w:rsidRPr="00CA2E38" w14:paraId="26CE54F6" w14:textId="77777777" w:rsidTr="00211F6A">
        <w:trPr>
          <w:trHeight w:val="563"/>
        </w:trPr>
        <w:tc>
          <w:tcPr>
            <w:tcW w:w="2717" w:type="dxa"/>
            <w:shd w:val="clear" w:color="auto" w:fill="FFFFFF" w:themeFill="background1"/>
            <w:vAlign w:val="center"/>
          </w:tcPr>
          <w:p w14:paraId="2425F2B0" w14:textId="77777777" w:rsidR="00211F6A" w:rsidRPr="00F759C3" w:rsidRDefault="006F4DBD" w:rsidP="00CC438C">
            <w:pPr>
              <w:jc w:val="center"/>
              <w:rPr>
                <w:b/>
                <w:color w:val="000000" w:themeColor="text1"/>
              </w:rPr>
            </w:pPr>
            <w:hyperlink r:id="rId21" w:anchor="RANGE!C14" w:history="1">
              <w:r w:rsidR="00211F6A" w:rsidRPr="00CA2E38">
                <w:rPr>
                  <w:b/>
                  <w:color w:val="000000" w:themeColor="text1"/>
                </w:rPr>
                <w:t>Quantity</w:t>
              </w:r>
            </w:hyperlink>
          </w:p>
        </w:tc>
        <w:tc>
          <w:tcPr>
            <w:tcW w:w="2410" w:type="dxa"/>
            <w:shd w:val="clear" w:color="auto" w:fill="FFFFFF" w:themeFill="background1"/>
          </w:tcPr>
          <w:p w14:paraId="1770E6C4" w14:textId="6BC39166" w:rsidR="00211F6A" w:rsidRDefault="00211F6A" w:rsidP="00180937">
            <w:pPr>
              <w:jc w:val="center"/>
            </w:pPr>
            <w:proofErr w:type="spellStart"/>
            <w:r w:rsidRPr="00D27EFD">
              <w:rPr>
                <w:b/>
                <w:color w:val="000000" w:themeColor="text1"/>
              </w:rPr>
              <w:t>Measurand</w:t>
            </w:r>
            <w:proofErr w:type="spellEnd"/>
          </w:p>
        </w:tc>
        <w:tc>
          <w:tcPr>
            <w:tcW w:w="2410" w:type="dxa"/>
            <w:shd w:val="clear" w:color="auto" w:fill="FFFFFF" w:themeFill="background1"/>
            <w:vAlign w:val="center"/>
            <w:hideMark/>
          </w:tcPr>
          <w:p w14:paraId="5EDC1D08" w14:textId="6E7B9E32" w:rsidR="00211F6A" w:rsidRPr="00F759C3" w:rsidRDefault="006F4DBD" w:rsidP="00180937">
            <w:pPr>
              <w:jc w:val="center"/>
              <w:rPr>
                <w:b/>
                <w:color w:val="000000" w:themeColor="text1"/>
              </w:rPr>
            </w:pPr>
            <w:hyperlink r:id="rId22" w:anchor="RANGE!C15" w:history="1">
              <w:r w:rsidR="00211F6A" w:rsidRPr="00CA2E38">
                <w:rPr>
                  <w:b/>
                  <w:color w:val="000000" w:themeColor="text1"/>
                  <w:lang w:val="en-US"/>
                </w:rPr>
                <w:t>Range</w:t>
              </w:r>
            </w:hyperlink>
          </w:p>
        </w:tc>
        <w:tc>
          <w:tcPr>
            <w:tcW w:w="2127" w:type="dxa"/>
            <w:shd w:val="clear" w:color="auto" w:fill="FFFFFF" w:themeFill="background1"/>
            <w:vAlign w:val="center"/>
            <w:hideMark/>
          </w:tcPr>
          <w:p w14:paraId="3D52A69B" w14:textId="77777777" w:rsidR="00211F6A" w:rsidRPr="00F759C3" w:rsidRDefault="006F4DBD" w:rsidP="00CA2E38">
            <w:pPr>
              <w:jc w:val="center"/>
              <w:rPr>
                <w:b/>
                <w:color w:val="000000" w:themeColor="text1"/>
                <w:lang w:val="en-US"/>
              </w:rPr>
            </w:pPr>
            <w:hyperlink r:id="rId23" w:anchor="RANGE!C18" w:history="1">
              <w:r w:rsidR="00211F6A" w:rsidRPr="00CA2E38">
                <w:rPr>
                  <w:b/>
                  <w:color w:val="000000" w:themeColor="text1"/>
                  <w:lang w:val="en-US"/>
                </w:rPr>
                <w:t>Target</w:t>
              </w:r>
            </w:hyperlink>
            <w:r w:rsidR="00211F6A" w:rsidRPr="00CA2E38">
              <w:rPr>
                <w:b/>
                <w:color w:val="000000" w:themeColor="text1"/>
                <w:lang w:val="en-US"/>
              </w:rPr>
              <w:t xml:space="preserve"> relative </w:t>
            </w:r>
            <w:r w:rsidR="00211F6A">
              <w:rPr>
                <w:b/>
                <w:color w:val="000000" w:themeColor="text1"/>
                <w:lang w:val="en-US"/>
              </w:rPr>
              <w:t xml:space="preserve">expanded </w:t>
            </w:r>
            <w:r w:rsidR="00211F6A" w:rsidRPr="00CA2E38">
              <w:rPr>
                <w:b/>
                <w:color w:val="000000" w:themeColor="text1"/>
                <w:lang w:val="en-US"/>
              </w:rPr>
              <w:t>uncertainty</w:t>
            </w:r>
          </w:p>
        </w:tc>
      </w:tr>
      <w:tr w:rsidR="00211F6A" w:rsidRPr="00211F6A" w14:paraId="317BA8C7" w14:textId="77777777" w:rsidTr="00211F6A">
        <w:trPr>
          <w:trHeight w:val="143"/>
        </w:trPr>
        <w:tc>
          <w:tcPr>
            <w:tcW w:w="2717" w:type="dxa"/>
            <w:shd w:val="clear" w:color="auto" w:fill="FFFFFF" w:themeFill="background1"/>
            <w:vAlign w:val="center"/>
          </w:tcPr>
          <w:p w14:paraId="69B4CFA5" w14:textId="77777777" w:rsidR="00211F6A" w:rsidRPr="00211F6A" w:rsidRDefault="00211F6A" w:rsidP="006B738A">
            <w:pPr>
              <w:rPr>
                <w:color w:val="000000" w:themeColor="text1"/>
                <w:lang w:val="en-US"/>
              </w:rPr>
            </w:pPr>
            <w:bookmarkStart w:id="19" w:name="OLE_LINK142"/>
            <w:bookmarkStart w:id="20" w:name="OLE_LINK143"/>
            <w:r w:rsidRPr="00211F6A">
              <w:rPr>
                <w:color w:val="000000" w:themeColor="text1"/>
                <w:lang w:val="en-US"/>
              </w:rPr>
              <w:t xml:space="preserve">Specific adsorption </w:t>
            </w:r>
            <w:proofErr w:type="gramStart"/>
            <w:r w:rsidRPr="00211F6A">
              <w:rPr>
                <w:color w:val="000000" w:themeColor="text1"/>
                <w:lang w:val="en-US"/>
              </w:rPr>
              <w:t>of  argon</w:t>
            </w:r>
            <w:proofErr w:type="gramEnd"/>
            <w:r w:rsidRPr="00211F6A">
              <w:rPr>
                <w:color w:val="000000" w:themeColor="text1"/>
                <w:lang w:val="en-US"/>
              </w:rPr>
              <w:t xml:space="preserve"> at </w:t>
            </w:r>
            <w:bookmarkStart w:id="21" w:name="OLE_LINK26"/>
            <w:bookmarkStart w:id="22" w:name="OLE_LINK27"/>
            <w:bookmarkEnd w:id="19"/>
            <w:bookmarkEnd w:id="20"/>
          </w:p>
          <w:p w14:paraId="549E343D" w14:textId="538E6C39" w:rsidR="00211F6A" w:rsidRPr="00211F6A" w:rsidRDefault="000D5954" w:rsidP="006B738A">
            <w:pPr>
              <w:rPr>
                <w:color w:val="000000" w:themeColor="text1"/>
                <w:u w:val="single"/>
                <w:lang w:val="en-US"/>
              </w:rPr>
            </w:pPr>
            <w:r w:rsidRPr="00E77DDC">
              <w:rPr>
                <w:color w:val="000000" w:themeColor="text1"/>
                <w:lang w:val="en-US"/>
              </w:rPr>
              <w:t>1</w:t>
            </w:r>
            <w:r w:rsidR="00211F6A" w:rsidRPr="00211F6A">
              <w:rPr>
                <w:color w:val="000000" w:themeColor="text1"/>
                <w:lang w:val="en-US"/>
              </w:rPr>
              <w:t>.0</w:t>
            </w:r>
            <w:r w:rsidR="00211F6A" w:rsidRPr="00211F6A">
              <w:rPr>
                <w:rFonts w:ascii="Calibri" w:hAnsi="Calibri" w:cs="Calibri"/>
                <w:color w:val="000000" w:themeColor="text1"/>
                <w:lang w:val="en-US"/>
              </w:rPr>
              <w:t>·</w:t>
            </w:r>
            <w:r w:rsidR="00211F6A" w:rsidRPr="00211F6A">
              <w:rPr>
                <w:color w:val="000000" w:themeColor="text1"/>
                <w:lang w:val="en-US"/>
              </w:rPr>
              <w:t>10</w:t>
            </w:r>
            <w:r w:rsidR="00211F6A" w:rsidRPr="00211F6A">
              <w:rPr>
                <w:color w:val="000000" w:themeColor="text1"/>
                <w:vertAlign w:val="superscript"/>
                <w:lang w:val="en-US"/>
              </w:rPr>
              <w:t>-</w:t>
            </w:r>
            <w:r w:rsidRPr="00E77DDC">
              <w:rPr>
                <w:color w:val="000000" w:themeColor="text1"/>
                <w:vertAlign w:val="superscript"/>
                <w:lang w:val="en-US"/>
              </w:rPr>
              <w:t>4</w:t>
            </w:r>
            <w:r w:rsidR="00211F6A" w:rsidRPr="00211F6A">
              <w:rPr>
                <w:color w:val="000000" w:themeColor="text1"/>
                <w:lang w:val="en-US"/>
              </w:rPr>
              <w:t>≤P/Po</w:t>
            </w:r>
            <w:bookmarkStart w:id="23" w:name="OLE_LINK23"/>
            <w:r w:rsidR="00211F6A" w:rsidRPr="00211F6A">
              <w:rPr>
                <w:color w:val="000000" w:themeColor="text1"/>
                <w:lang w:val="en-US"/>
              </w:rPr>
              <w:t>≤</w:t>
            </w:r>
            <w:bookmarkEnd w:id="23"/>
            <w:r w:rsidR="00211F6A" w:rsidRPr="00211F6A">
              <w:rPr>
                <w:color w:val="000000" w:themeColor="text1"/>
                <w:lang w:val="en-US"/>
              </w:rPr>
              <w:t>1.0</w:t>
            </w:r>
            <w:r w:rsidR="00211F6A" w:rsidRPr="00211F6A">
              <w:rPr>
                <w:rFonts w:ascii="Calibri" w:hAnsi="Calibri" w:cs="Calibri"/>
                <w:color w:val="000000" w:themeColor="text1"/>
                <w:lang w:val="en-US"/>
              </w:rPr>
              <w:t>·</w:t>
            </w:r>
            <w:r w:rsidR="00211F6A" w:rsidRPr="00211F6A">
              <w:rPr>
                <w:color w:val="000000" w:themeColor="text1"/>
                <w:lang w:val="en-US"/>
              </w:rPr>
              <w:t>10</w:t>
            </w:r>
            <w:r w:rsidR="00211F6A" w:rsidRPr="00211F6A">
              <w:rPr>
                <w:color w:val="000000" w:themeColor="text1"/>
                <w:vertAlign w:val="superscript"/>
                <w:lang w:val="en-US"/>
              </w:rPr>
              <w:t>-1</w:t>
            </w:r>
            <w:bookmarkEnd w:id="21"/>
            <w:bookmarkEnd w:id="22"/>
          </w:p>
        </w:tc>
        <w:tc>
          <w:tcPr>
            <w:tcW w:w="2410" w:type="dxa"/>
            <w:shd w:val="clear" w:color="auto" w:fill="FFFFFF" w:themeFill="background1"/>
          </w:tcPr>
          <w:p w14:paraId="17035D0E" w14:textId="2CBAE279" w:rsidR="00211F6A" w:rsidRPr="00211F6A" w:rsidRDefault="00211F6A" w:rsidP="00FC4282">
            <w:pPr>
              <w:jc w:val="center"/>
              <w:rPr>
                <w:color w:val="000000" w:themeColor="text1"/>
                <w:lang w:val="en-US"/>
              </w:rPr>
            </w:pPr>
            <w:r w:rsidRPr="00211F6A">
              <w:rPr>
                <w:color w:val="000000" w:themeColor="text1"/>
                <w:lang w:val="en-US"/>
              </w:rPr>
              <w:t>Primary</w:t>
            </w:r>
          </w:p>
        </w:tc>
        <w:tc>
          <w:tcPr>
            <w:tcW w:w="2410" w:type="dxa"/>
            <w:shd w:val="clear" w:color="auto" w:fill="FFFFFF" w:themeFill="background1"/>
            <w:vAlign w:val="center"/>
          </w:tcPr>
          <w:p w14:paraId="5446DDF4" w14:textId="76DA43A9" w:rsidR="00211F6A" w:rsidRPr="00211F6A" w:rsidRDefault="00211F6A" w:rsidP="00FC4282">
            <w:pPr>
              <w:jc w:val="center"/>
              <w:rPr>
                <w:color w:val="000000" w:themeColor="text1"/>
                <w:lang w:val="en-US"/>
              </w:rPr>
            </w:pPr>
            <w:bookmarkStart w:id="24" w:name="OLE_LINK144"/>
            <w:bookmarkStart w:id="25" w:name="OLE_LINK145"/>
            <w:bookmarkStart w:id="26" w:name="OLE_LINK146"/>
            <w:r w:rsidRPr="00211F6A">
              <w:rPr>
                <w:color w:val="000000" w:themeColor="text1"/>
                <w:lang w:val="en-US"/>
              </w:rPr>
              <w:t>(</w:t>
            </w:r>
            <w:r w:rsidR="000D5954">
              <w:rPr>
                <w:color w:val="000000" w:themeColor="text1"/>
              </w:rPr>
              <w:t>1</w:t>
            </w:r>
            <w:r w:rsidRPr="00211F6A">
              <w:rPr>
                <w:color w:val="000000" w:themeColor="text1"/>
                <w:lang w:val="en-US"/>
              </w:rPr>
              <w:t>-</w:t>
            </w:r>
            <w:r w:rsidR="000D5954">
              <w:rPr>
                <w:color w:val="000000" w:themeColor="text1"/>
                <w:lang w:val="en-US"/>
              </w:rPr>
              <w:t>20</w:t>
            </w:r>
            <w:r w:rsidRPr="00211F6A">
              <w:rPr>
                <w:color w:val="000000" w:themeColor="text1"/>
                <w:lang w:val="en-US"/>
              </w:rPr>
              <w:t>) mol</w:t>
            </w:r>
            <w:r w:rsidRPr="00211F6A">
              <w:rPr>
                <w:color w:val="000000" w:themeColor="text1"/>
              </w:rPr>
              <w:t>/</w:t>
            </w:r>
            <w:r w:rsidRPr="00211F6A">
              <w:rPr>
                <w:color w:val="000000" w:themeColor="text1"/>
                <w:lang w:val="en-US"/>
              </w:rPr>
              <w:t>k</w:t>
            </w:r>
            <w:r w:rsidRPr="00211F6A">
              <w:rPr>
                <w:color w:val="000000" w:themeColor="text1"/>
              </w:rPr>
              <w:t>g</w:t>
            </w:r>
            <w:bookmarkEnd w:id="24"/>
            <w:bookmarkEnd w:id="25"/>
            <w:bookmarkEnd w:id="26"/>
          </w:p>
        </w:tc>
        <w:tc>
          <w:tcPr>
            <w:tcW w:w="2127" w:type="dxa"/>
            <w:vMerge w:val="restart"/>
            <w:shd w:val="clear" w:color="auto" w:fill="FFFFFF" w:themeFill="background1"/>
            <w:vAlign w:val="center"/>
          </w:tcPr>
          <w:p w14:paraId="3DBDB2A8" w14:textId="5DB94B21" w:rsidR="00211F6A" w:rsidRPr="00211F6A" w:rsidRDefault="00211F6A" w:rsidP="000241A8">
            <w:pPr>
              <w:jc w:val="center"/>
              <w:rPr>
                <w:color w:val="000000" w:themeColor="text1"/>
                <w:u w:val="single"/>
              </w:rPr>
            </w:pPr>
            <w:r w:rsidRPr="00211F6A">
              <w:rPr>
                <w:color w:val="000000" w:themeColor="text1"/>
                <w:lang w:val="en-US"/>
              </w:rPr>
              <w:t>(1-</w:t>
            </w:r>
            <w:r w:rsidR="00E77DDC">
              <w:rPr>
                <w:color w:val="000000" w:themeColor="text1"/>
                <w:lang w:val="en-US"/>
              </w:rPr>
              <w:t>10</w:t>
            </w:r>
            <w:r w:rsidRPr="00211F6A">
              <w:rPr>
                <w:color w:val="000000" w:themeColor="text1"/>
                <w:lang w:val="en-US"/>
              </w:rPr>
              <w:t>) %</w:t>
            </w:r>
          </w:p>
        </w:tc>
      </w:tr>
      <w:tr w:rsidR="00211F6A" w:rsidRPr="00211F6A" w14:paraId="3E70317F" w14:textId="77777777" w:rsidTr="00211F6A">
        <w:trPr>
          <w:trHeight w:val="88"/>
        </w:trPr>
        <w:tc>
          <w:tcPr>
            <w:tcW w:w="2717" w:type="dxa"/>
            <w:shd w:val="clear" w:color="auto" w:fill="FFFFFF" w:themeFill="background1"/>
            <w:vAlign w:val="center"/>
          </w:tcPr>
          <w:p w14:paraId="0E03E694" w14:textId="0B02364E" w:rsidR="00211F6A" w:rsidRPr="00211F6A" w:rsidRDefault="00211F6A" w:rsidP="00CA2E38">
            <w:pPr>
              <w:rPr>
                <w:color w:val="000000" w:themeColor="text1"/>
                <w:lang w:val="en-US"/>
              </w:rPr>
            </w:pPr>
            <w:r w:rsidRPr="00211F6A">
              <w:rPr>
                <w:color w:val="000000" w:themeColor="text1"/>
                <w:lang w:val="en-US"/>
              </w:rPr>
              <w:t>S</w:t>
            </w:r>
            <w:proofErr w:type="spellStart"/>
            <w:r w:rsidRPr="00211F6A">
              <w:rPr>
                <w:color w:val="000000" w:themeColor="text1"/>
              </w:rPr>
              <w:t>pecific</w:t>
            </w:r>
            <w:proofErr w:type="spellEnd"/>
            <w:r w:rsidRPr="00211F6A">
              <w:rPr>
                <w:color w:val="000000" w:themeColor="text1"/>
              </w:rPr>
              <w:t xml:space="preserve"> </w:t>
            </w:r>
            <w:proofErr w:type="spellStart"/>
            <w:r w:rsidRPr="00211F6A">
              <w:rPr>
                <w:color w:val="000000" w:themeColor="text1"/>
              </w:rPr>
              <w:t>surface</w:t>
            </w:r>
            <w:proofErr w:type="spellEnd"/>
            <w:r w:rsidRPr="00211F6A">
              <w:rPr>
                <w:color w:val="000000" w:themeColor="text1"/>
              </w:rPr>
              <w:t xml:space="preserve"> </w:t>
            </w:r>
            <w:proofErr w:type="spellStart"/>
            <w:r w:rsidRPr="00211F6A">
              <w:rPr>
                <w:color w:val="000000" w:themeColor="text1"/>
              </w:rPr>
              <w:t>area</w:t>
            </w:r>
            <w:proofErr w:type="spellEnd"/>
          </w:p>
        </w:tc>
        <w:tc>
          <w:tcPr>
            <w:tcW w:w="2410" w:type="dxa"/>
            <w:shd w:val="clear" w:color="auto" w:fill="FFFFFF" w:themeFill="background1"/>
          </w:tcPr>
          <w:p w14:paraId="0A141A00" w14:textId="5715ED6E" w:rsidR="00211F6A" w:rsidRPr="00211F6A" w:rsidRDefault="00211F6A" w:rsidP="00180937">
            <w:pPr>
              <w:jc w:val="center"/>
              <w:rPr>
                <w:color w:val="000000" w:themeColor="text1"/>
                <w:lang w:val="en-US"/>
              </w:rPr>
            </w:pPr>
            <w:r w:rsidRPr="00211F6A">
              <w:rPr>
                <w:color w:val="000000" w:themeColor="text1"/>
                <w:lang w:val="en-US"/>
              </w:rPr>
              <w:t>Secondary</w:t>
            </w:r>
          </w:p>
        </w:tc>
        <w:tc>
          <w:tcPr>
            <w:tcW w:w="2410" w:type="dxa"/>
            <w:shd w:val="clear" w:color="auto" w:fill="FFFFFF" w:themeFill="background1"/>
            <w:vAlign w:val="center"/>
          </w:tcPr>
          <w:p w14:paraId="46B17AEE" w14:textId="62022F74" w:rsidR="00211F6A" w:rsidRPr="00211F6A" w:rsidRDefault="00211F6A" w:rsidP="00180937">
            <w:pPr>
              <w:jc w:val="center"/>
              <w:rPr>
                <w:color w:val="000000" w:themeColor="text1"/>
                <w:lang w:val="en-US"/>
              </w:rPr>
            </w:pPr>
            <w:r w:rsidRPr="00211F6A">
              <w:rPr>
                <w:color w:val="000000" w:themeColor="text1"/>
                <w:lang w:val="en-US"/>
              </w:rPr>
              <w:t>(500-1500)</w:t>
            </w:r>
            <w:r w:rsidRPr="00211F6A">
              <w:rPr>
                <w:color w:val="000000" w:themeColor="text1"/>
              </w:rPr>
              <w:t xml:space="preserve"> m</w:t>
            </w:r>
            <w:r w:rsidRPr="00211F6A">
              <w:rPr>
                <w:color w:val="000000" w:themeColor="text1"/>
                <w:vertAlign w:val="superscript"/>
              </w:rPr>
              <w:t>2</w:t>
            </w:r>
            <w:r w:rsidRPr="00211F6A">
              <w:rPr>
                <w:color w:val="000000" w:themeColor="text1"/>
              </w:rPr>
              <w:t>/g</w:t>
            </w:r>
          </w:p>
        </w:tc>
        <w:tc>
          <w:tcPr>
            <w:tcW w:w="2127" w:type="dxa"/>
            <w:vMerge/>
            <w:shd w:val="clear" w:color="auto" w:fill="FFFFFF" w:themeFill="background1"/>
            <w:vAlign w:val="center"/>
          </w:tcPr>
          <w:p w14:paraId="21C5DB06" w14:textId="77777777" w:rsidR="00211F6A" w:rsidRPr="00211F6A" w:rsidRDefault="00211F6A" w:rsidP="00CC438C">
            <w:pPr>
              <w:jc w:val="center"/>
              <w:rPr>
                <w:color w:val="000000" w:themeColor="text1"/>
                <w:u w:val="single"/>
              </w:rPr>
            </w:pPr>
          </w:p>
        </w:tc>
      </w:tr>
    </w:tbl>
    <w:p w14:paraId="68D3CD66" w14:textId="77777777" w:rsidR="008A5A66" w:rsidRDefault="008A5A66" w:rsidP="008A5A66">
      <w:pPr>
        <w:ind w:firstLine="708"/>
        <w:jc w:val="both"/>
        <w:rPr>
          <w:b/>
          <w:szCs w:val="20"/>
          <w:lang w:val="en-US"/>
        </w:rPr>
      </w:pPr>
    </w:p>
    <w:p w14:paraId="39D411E2" w14:textId="4434AE0A" w:rsidR="008A5A66" w:rsidRPr="008A5A66" w:rsidRDefault="008A5A66" w:rsidP="008A5A66">
      <w:pPr>
        <w:ind w:firstLine="708"/>
        <w:jc w:val="both"/>
        <w:rPr>
          <w:b/>
          <w:szCs w:val="20"/>
        </w:rPr>
      </w:pPr>
      <w:r w:rsidRPr="0050155F">
        <w:rPr>
          <w:b/>
          <w:szCs w:val="20"/>
          <w:lang w:val="en-US"/>
        </w:rPr>
        <w:t xml:space="preserve">Table </w:t>
      </w:r>
      <w:r>
        <w:rPr>
          <w:b/>
          <w:szCs w:val="20"/>
          <w:lang w:val="en-US"/>
        </w:rPr>
        <w:t>3</w:t>
      </w:r>
      <w:r>
        <w:rPr>
          <w:b/>
          <w:szCs w:val="20"/>
        </w:rPr>
        <w:t xml:space="preserve"> </w:t>
      </w:r>
    </w:p>
    <w:tbl>
      <w:tblPr>
        <w:tblW w:w="966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717"/>
        <w:gridCol w:w="2410"/>
        <w:gridCol w:w="2410"/>
        <w:gridCol w:w="2127"/>
      </w:tblGrid>
      <w:tr w:rsidR="008A5A66" w:rsidRPr="00CA2E38" w14:paraId="026DE77B" w14:textId="77777777" w:rsidTr="00AA7974">
        <w:trPr>
          <w:trHeight w:val="563"/>
        </w:trPr>
        <w:tc>
          <w:tcPr>
            <w:tcW w:w="2717" w:type="dxa"/>
            <w:shd w:val="clear" w:color="auto" w:fill="FFFFFF" w:themeFill="background1"/>
            <w:vAlign w:val="center"/>
          </w:tcPr>
          <w:p w14:paraId="6F59C291" w14:textId="77777777" w:rsidR="008A5A66" w:rsidRPr="00F759C3" w:rsidRDefault="006F4DBD" w:rsidP="00AA7974">
            <w:pPr>
              <w:jc w:val="center"/>
              <w:rPr>
                <w:b/>
                <w:color w:val="000000" w:themeColor="text1"/>
              </w:rPr>
            </w:pPr>
            <w:hyperlink r:id="rId24" w:anchor="RANGE!C14" w:history="1">
              <w:r w:rsidR="008A5A66" w:rsidRPr="00CA2E38">
                <w:rPr>
                  <w:b/>
                  <w:color w:val="000000" w:themeColor="text1"/>
                </w:rPr>
                <w:t>Quantity</w:t>
              </w:r>
            </w:hyperlink>
          </w:p>
        </w:tc>
        <w:tc>
          <w:tcPr>
            <w:tcW w:w="2410" w:type="dxa"/>
            <w:shd w:val="clear" w:color="auto" w:fill="FFFFFF" w:themeFill="background1"/>
          </w:tcPr>
          <w:p w14:paraId="112CFBE4" w14:textId="77777777" w:rsidR="008A5A66" w:rsidRDefault="008A5A66" w:rsidP="00AA7974">
            <w:pPr>
              <w:jc w:val="center"/>
              <w:rPr>
                <w:b/>
                <w:color w:val="000000" w:themeColor="text1"/>
              </w:rPr>
            </w:pPr>
            <w:proofErr w:type="spellStart"/>
            <w:r w:rsidRPr="008A5A66">
              <w:rPr>
                <w:b/>
                <w:color w:val="000000" w:themeColor="text1"/>
              </w:rPr>
              <w:t>Informative</w:t>
            </w:r>
            <w:proofErr w:type="spellEnd"/>
            <w:r w:rsidRPr="008A5A66">
              <w:rPr>
                <w:b/>
                <w:color w:val="000000" w:themeColor="text1"/>
              </w:rPr>
              <w:t xml:space="preserve"> </w:t>
            </w:r>
          </w:p>
          <w:p w14:paraId="618A2178" w14:textId="6B230E9C" w:rsidR="008A5A66" w:rsidRPr="008A5A66" w:rsidRDefault="008A5A66" w:rsidP="00AA7974">
            <w:pPr>
              <w:jc w:val="center"/>
              <w:rPr>
                <w:lang w:val="en-US"/>
              </w:rPr>
            </w:pPr>
            <w:proofErr w:type="spellStart"/>
            <w:r w:rsidRPr="008A5A66">
              <w:rPr>
                <w:b/>
                <w:color w:val="000000" w:themeColor="text1"/>
              </w:rPr>
              <w:t>characteristic</w:t>
            </w:r>
            <w:proofErr w:type="spellEnd"/>
          </w:p>
        </w:tc>
        <w:tc>
          <w:tcPr>
            <w:tcW w:w="2410" w:type="dxa"/>
            <w:shd w:val="clear" w:color="auto" w:fill="FFFFFF" w:themeFill="background1"/>
            <w:vAlign w:val="center"/>
            <w:hideMark/>
          </w:tcPr>
          <w:p w14:paraId="0B32EEE9" w14:textId="77777777" w:rsidR="008A5A66" w:rsidRPr="00F759C3" w:rsidRDefault="006F4DBD" w:rsidP="00AA7974">
            <w:pPr>
              <w:jc w:val="center"/>
              <w:rPr>
                <w:b/>
                <w:color w:val="000000" w:themeColor="text1"/>
              </w:rPr>
            </w:pPr>
            <w:hyperlink r:id="rId25" w:anchor="RANGE!C15" w:history="1">
              <w:r w:rsidR="008A5A66" w:rsidRPr="00CA2E38">
                <w:rPr>
                  <w:b/>
                  <w:color w:val="000000" w:themeColor="text1"/>
                  <w:lang w:val="en-US"/>
                </w:rPr>
                <w:t>Range</w:t>
              </w:r>
            </w:hyperlink>
          </w:p>
        </w:tc>
        <w:tc>
          <w:tcPr>
            <w:tcW w:w="2127" w:type="dxa"/>
            <w:shd w:val="clear" w:color="auto" w:fill="FFFFFF" w:themeFill="background1"/>
            <w:vAlign w:val="center"/>
            <w:hideMark/>
          </w:tcPr>
          <w:p w14:paraId="3C040CDA" w14:textId="77777777" w:rsidR="008A5A66" w:rsidRPr="00F759C3" w:rsidRDefault="006F4DBD" w:rsidP="00AA7974">
            <w:pPr>
              <w:jc w:val="center"/>
              <w:rPr>
                <w:b/>
                <w:color w:val="000000" w:themeColor="text1"/>
                <w:lang w:val="en-US"/>
              </w:rPr>
            </w:pPr>
            <w:hyperlink r:id="rId26" w:anchor="RANGE!C18" w:history="1">
              <w:r w:rsidR="008A5A66" w:rsidRPr="00CA2E38">
                <w:rPr>
                  <w:b/>
                  <w:color w:val="000000" w:themeColor="text1"/>
                  <w:lang w:val="en-US"/>
                </w:rPr>
                <w:t>Target</w:t>
              </w:r>
            </w:hyperlink>
            <w:r w:rsidR="008A5A66" w:rsidRPr="00CA2E38">
              <w:rPr>
                <w:b/>
                <w:color w:val="000000" w:themeColor="text1"/>
                <w:lang w:val="en-US"/>
              </w:rPr>
              <w:t xml:space="preserve"> relative </w:t>
            </w:r>
            <w:r w:rsidR="008A5A66">
              <w:rPr>
                <w:b/>
                <w:color w:val="000000" w:themeColor="text1"/>
                <w:lang w:val="en-US"/>
              </w:rPr>
              <w:t xml:space="preserve">expanded </w:t>
            </w:r>
            <w:r w:rsidR="008A5A66" w:rsidRPr="00CA2E38">
              <w:rPr>
                <w:b/>
                <w:color w:val="000000" w:themeColor="text1"/>
                <w:lang w:val="en-US"/>
              </w:rPr>
              <w:t>uncertainty</w:t>
            </w:r>
          </w:p>
        </w:tc>
      </w:tr>
      <w:tr w:rsidR="008A5A66" w:rsidRPr="00211F6A" w14:paraId="632E83E7" w14:textId="77777777" w:rsidTr="00AA7974">
        <w:trPr>
          <w:trHeight w:val="176"/>
        </w:trPr>
        <w:tc>
          <w:tcPr>
            <w:tcW w:w="2717" w:type="dxa"/>
            <w:shd w:val="clear" w:color="auto" w:fill="FFFFFF" w:themeFill="background1"/>
            <w:vAlign w:val="center"/>
          </w:tcPr>
          <w:p w14:paraId="4FB15B44" w14:textId="77777777" w:rsidR="008A5A66" w:rsidRPr="00211F6A" w:rsidRDefault="008A5A66" w:rsidP="00AA7974">
            <w:pPr>
              <w:rPr>
                <w:color w:val="000000" w:themeColor="text1"/>
              </w:rPr>
            </w:pPr>
            <w:proofErr w:type="spellStart"/>
            <w:r w:rsidRPr="00211F6A">
              <w:rPr>
                <w:color w:val="000000" w:themeColor="text1"/>
              </w:rPr>
              <w:t>Specific</w:t>
            </w:r>
            <w:proofErr w:type="spellEnd"/>
            <w:r w:rsidRPr="00211F6A">
              <w:rPr>
                <w:color w:val="000000" w:themeColor="text1"/>
              </w:rPr>
              <w:t xml:space="preserve"> </w:t>
            </w:r>
            <w:r w:rsidRPr="00211F6A">
              <w:rPr>
                <w:color w:val="000000" w:themeColor="text1"/>
                <w:lang w:val="en-US"/>
              </w:rPr>
              <w:t>p</w:t>
            </w:r>
            <w:proofErr w:type="spellStart"/>
            <w:r w:rsidRPr="00211F6A">
              <w:rPr>
                <w:color w:val="000000" w:themeColor="text1"/>
              </w:rPr>
              <w:t>ore</w:t>
            </w:r>
            <w:proofErr w:type="spellEnd"/>
            <w:r w:rsidRPr="00211F6A">
              <w:rPr>
                <w:color w:val="000000" w:themeColor="text1"/>
              </w:rPr>
              <w:t xml:space="preserve"> </w:t>
            </w:r>
            <w:r w:rsidRPr="00211F6A">
              <w:rPr>
                <w:color w:val="000000" w:themeColor="text1"/>
                <w:lang w:val="en-US"/>
              </w:rPr>
              <w:t>v</w:t>
            </w:r>
            <w:proofErr w:type="spellStart"/>
            <w:r w:rsidRPr="00211F6A">
              <w:rPr>
                <w:color w:val="000000" w:themeColor="text1"/>
              </w:rPr>
              <w:t>olume</w:t>
            </w:r>
            <w:proofErr w:type="spellEnd"/>
          </w:p>
        </w:tc>
        <w:tc>
          <w:tcPr>
            <w:tcW w:w="2410" w:type="dxa"/>
            <w:shd w:val="clear" w:color="auto" w:fill="FFFFFF" w:themeFill="background1"/>
          </w:tcPr>
          <w:p w14:paraId="620713D9" w14:textId="77777777" w:rsidR="008A5A66" w:rsidRPr="00211F6A" w:rsidRDefault="008A5A66" w:rsidP="00AA7974">
            <w:pPr>
              <w:jc w:val="center"/>
              <w:rPr>
                <w:color w:val="000000" w:themeColor="text1"/>
                <w:lang w:val="en-US"/>
              </w:rPr>
            </w:pPr>
            <w:r w:rsidRPr="00211F6A">
              <w:rPr>
                <w:color w:val="000000" w:themeColor="text1"/>
                <w:lang w:val="en-US"/>
              </w:rPr>
              <w:t>Secondary</w:t>
            </w:r>
          </w:p>
        </w:tc>
        <w:tc>
          <w:tcPr>
            <w:tcW w:w="2410" w:type="dxa"/>
            <w:shd w:val="clear" w:color="auto" w:fill="FFFFFF" w:themeFill="background1"/>
            <w:vAlign w:val="center"/>
            <w:hideMark/>
          </w:tcPr>
          <w:p w14:paraId="449144FF" w14:textId="77777777" w:rsidR="008A5A66" w:rsidRPr="00211F6A" w:rsidRDefault="008A5A66" w:rsidP="00AA7974">
            <w:pPr>
              <w:jc w:val="center"/>
              <w:rPr>
                <w:color w:val="000000" w:themeColor="text1"/>
                <w:lang w:val="en-US"/>
              </w:rPr>
            </w:pPr>
            <w:r w:rsidRPr="00211F6A">
              <w:rPr>
                <w:color w:val="000000" w:themeColor="text1"/>
                <w:lang w:val="en-US"/>
              </w:rPr>
              <w:t>(0.</w:t>
            </w:r>
            <w:r>
              <w:rPr>
                <w:color w:val="000000" w:themeColor="text1"/>
                <w:lang w:val="en-US"/>
              </w:rPr>
              <w:t>05</w:t>
            </w:r>
            <w:r w:rsidRPr="00211F6A">
              <w:rPr>
                <w:color w:val="000000" w:themeColor="text1"/>
                <w:lang w:val="en-US"/>
              </w:rPr>
              <w:t>-1.0) cm</w:t>
            </w:r>
            <w:r w:rsidRPr="00211F6A">
              <w:rPr>
                <w:color w:val="000000" w:themeColor="text1"/>
                <w:vertAlign w:val="superscript"/>
                <w:lang w:val="en-US"/>
              </w:rPr>
              <w:t>3</w:t>
            </w:r>
            <w:r w:rsidRPr="00211F6A">
              <w:rPr>
                <w:color w:val="000000" w:themeColor="text1"/>
                <w:lang w:val="en-US"/>
              </w:rPr>
              <w:t>/g</w:t>
            </w:r>
          </w:p>
        </w:tc>
        <w:tc>
          <w:tcPr>
            <w:tcW w:w="2127" w:type="dxa"/>
            <w:vMerge w:val="restart"/>
            <w:shd w:val="clear" w:color="auto" w:fill="FFFFFF" w:themeFill="background1"/>
            <w:vAlign w:val="center"/>
          </w:tcPr>
          <w:p w14:paraId="1410CA53" w14:textId="17595EA4" w:rsidR="008A5A66" w:rsidRPr="00211F6A" w:rsidRDefault="00302558" w:rsidP="00AA7974">
            <w:pPr>
              <w:jc w:val="center"/>
              <w:rPr>
                <w:color w:val="000000" w:themeColor="text1"/>
                <w:lang w:val="en-US"/>
              </w:rPr>
            </w:pPr>
            <w:r>
              <w:rPr>
                <w:color w:val="000000" w:themeColor="text1"/>
                <w:lang w:val="en-US"/>
              </w:rPr>
              <w:t>-</w:t>
            </w:r>
          </w:p>
        </w:tc>
      </w:tr>
      <w:tr w:rsidR="008A5A66" w:rsidRPr="00211F6A" w14:paraId="0CD0C415" w14:textId="77777777" w:rsidTr="00AA7974">
        <w:trPr>
          <w:trHeight w:val="122"/>
        </w:trPr>
        <w:tc>
          <w:tcPr>
            <w:tcW w:w="2717" w:type="dxa"/>
            <w:shd w:val="clear" w:color="auto" w:fill="FFFFFF" w:themeFill="background1"/>
            <w:vAlign w:val="center"/>
          </w:tcPr>
          <w:p w14:paraId="0A872623" w14:textId="77777777" w:rsidR="008A5A66" w:rsidRPr="00211F6A" w:rsidRDefault="008A5A66" w:rsidP="00AA7974">
            <w:pPr>
              <w:rPr>
                <w:color w:val="000000" w:themeColor="text1"/>
                <w:lang w:val="en-US"/>
              </w:rPr>
            </w:pPr>
            <w:r w:rsidRPr="00211F6A">
              <w:rPr>
                <w:color w:val="000000" w:themeColor="text1"/>
                <w:lang w:val="en-US"/>
              </w:rPr>
              <w:t>Most frequency pore diameter</w:t>
            </w:r>
          </w:p>
        </w:tc>
        <w:tc>
          <w:tcPr>
            <w:tcW w:w="2410" w:type="dxa"/>
            <w:shd w:val="clear" w:color="auto" w:fill="FFFFFF" w:themeFill="background1"/>
          </w:tcPr>
          <w:p w14:paraId="7DCED1CC" w14:textId="77777777" w:rsidR="008A5A66" w:rsidRPr="00211F6A" w:rsidRDefault="008A5A66" w:rsidP="00AA7974">
            <w:pPr>
              <w:jc w:val="center"/>
              <w:rPr>
                <w:color w:val="000000" w:themeColor="text1"/>
                <w:lang w:val="en-US"/>
              </w:rPr>
            </w:pPr>
            <w:r w:rsidRPr="00211F6A">
              <w:rPr>
                <w:color w:val="000000" w:themeColor="text1"/>
                <w:lang w:val="en-US"/>
              </w:rPr>
              <w:t>Secondary</w:t>
            </w:r>
          </w:p>
        </w:tc>
        <w:tc>
          <w:tcPr>
            <w:tcW w:w="2410" w:type="dxa"/>
            <w:shd w:val="clear" w:color="auto" w:fill="FFFFFF" w:themeFill="background1"/>
            <w:vAlign w:val="center"/>
            <w:hideMark/>
          </w:tcPr>
          <w:p w14:paraId="02536B16" w14:textId="77777777" w:rsidR="008A5A66" w:rsidRPr="00211F6A" w:rsidRDefault="008A5A66" w:rsidP="00AA7974">
            <w:pPr>
              <w:jc w:val="center"/>
              <w:rPr>
                <w:color w:val="000000" w:themeColor="text1"/>
                <w:lang w:val="en-US"/>
              </w:rPr>
            </w:pPr>
            <w:r w:rsidRPr="00211F6A">
              <w:rPr>
                <w:color w:val="000000" w:themeColor="text1"/>
                <w:lang w:val="en-US"/>
              </w:rPr>
              <w:t>(</w:t>
            </w:r>
            <w:r w:rsidRPr="00211F6A">
              <w:rPr>
                <w:color w:val="000000" w:themeColor="text1"/>
              </w:rPr>
              <w:t>0.4</w:t>
            </w:r>
            <w:r w:rsidRPr="00211F6A">
              <w:rPr>
                <w:color w:val="000000" w:themeColor="text1"/>
                <w:lang w:val="en-US"/>
              </w:rPr>
              <w:t>–2) nm</w:t>
            </w:r>
          </w:p>
        </w:tc>
        <w:tc>
          <w:tcPr>
            <w:tcW w:w="2127" w:type="dxa"/>
            <w:vMerge/>
            <w:shd w:val="clear" w:color="auto" w:fill="FFFFFF" w:themeFill="background1"/>
            <w:vAlign w:val="center"/>
          </w:tcPr>
          <w:p w14:paraId="553FD4BA" w14:textId="77777777" w:rsidR="008A5A66" w:rsidRPr="00211F6A" w:rsidRDefault="008A5A66" w:rsidP="00AA7974">
            <w:pPr>
              <w:jc w:val="center"/>
              <w:rPr>
                <w:color w:val="000000" w:themeColor="text1"/>
                <w:lang w:val="en-US"/>
              </w:rPr>
            </w:pPr>
          </w:p>
        </w:tc>
      </w:tr>
    </w:tbl>
    <w:p w14:paraId="37EAD5CE" w14:textId="47190119" w:rsidR="008A5A66" w:rsidRDefault="008A5A66" w:rsidP="001B4010">
      <w:pPr>
        <w:jc w:val="both"/>
        <w:rPr>
          <w:b/>
          <w:bCs/>
          <w:color w:val="000000" w:themeColor="text1"/>
          <w:szCs w:val="20"/>
          <w:lang w:val="en-GB"/>
        </w:rPr>
      </w:pPr>
    </w:p>
    <w:p w14:paraId="254BFDF1" w14:textId="77777777" w:rsidR="008A5A66" w:rsidRPr="00211F6A" w:rsidRDefault="008A5A66" w:rsidP="001B4010">
      <w:pPr>
        <w:jc w:val="both"/>
        <w:rPr>
          <w:b/>
          <w:bCs/>
          <w:color w:val="000000" w:themeColor="text1"/>
          <w:szCs w:val="20"/>
          <w:lang w:val="en-GB"/>
        </w:rPr>
      </w:pPr>
    </w:p>
    <w:p w14:paraId="72B65686" w14:textId="3A7269FB" w:rsidR="00211F6A" w:rsidRPr="00211F6A" w:rsidRDefault="00211F6A" w:rsidP="00211F6A">
      <w:pPr>
        <w:ind w:firstLine="708"/>
        <w:jc w:val="both"/>
        <w:rPr>
          <w:b/>
          <w:color w:val="000000" w:themeColor="text1"/>
          <w:szCs w:val="20"/>
          <w:lang w:val="en-US"/>
        </w:rPr>
      </w:pPr>
      <w:r w:rsidRPr="00211F6A">
        <w:rPr>
          <w:b/>
          <w:color w:val="000000" w:themeColor="text1"/>
          <w:szCs w:val="20"/>
          <w:lang w:val="en-US"/>
        </w:rPr>
        <w:t xml:space="preserve">Table </w:t>
      </w:r>
      <w:r w:rsidR="008A5A66">
        <w:rPr>
          <w:b/>
          <w:color w:val="000000" w:themeColor="text1"/>
          <w:szCs w:val="20"/>
          <w:lang w:val="en-US"/>
        </w:rPr>
        <w:t>4</w:t>
      </w:r>
    </w:p>
    <w:tbl>
      <w:tblPr>
        <w:tblW w:w="9802" w:type="dxa"/>
        <w:tblInd w:w="-5" w:type="dxa"/>
        <w:tblLook w:val="04A0" w:firstRow="1" w:lastRow="0" w:firstColumn="1" w:lastColumn="0" w:noHBand="0" w:noVBand="1"/>
      </w:tblPr>
      <w:tblGrid>
        <w:gridCol w:w="1814"/>
        <w:gridCol w:w="2268"/>
        <w:gridCol w:w="2860"/>
        <w:gridCol w:w="2860"/>
      </w:tblGrid>
      <w:tr w:rsidR="00211F6A" w:rsidRPr="00211F6A" w14:paraId="5BFF2773" w14:textId="77777777" w:rsidTr="00C3470E">
        <w:trPr>
          <w:trHeight w:val="300"/>
        </w:trPr>
        <w:tc>
          <w:tcPr>
            <w:tcW w:w="1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25893" w14:textId="77777777" w:rsidR="00211F6A" w:rsidRPr="00211F6A" w:rsidRDefault="00211F6A" w:rsidP="008C4448">
            <w:pPr>
              <w:jc w:val="center"/>
              <w:rPr>
                <w:color w:val="000000" w:themeColor="text1"/>
              </w:rPr>
            </w:pPr>
            <w:r w:rsidRPr="00211F6A">
              <w:rPr>
                <w:color w:val="000000" w:themeColor="text1"/>
              </w:rPr>
              <w:t>№</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8ACF005" w14:textId="77777777" w:rsidR="00211F6A" w:rsidRPr="00211F6A" w:rsidRDefault="00211F6A" w:rsidP="008C4448">
            <w:pPr>
              <w:jc w:val="center"/>
              <w:rPr>
                <w:color w:val="000000" w:themeColor="text1"/>
                <w:lang w:val="en-US"/>
              </w:rPr>
            </w:pPr>
            <w:r w:rsidRPr="00211F6A">
              <w:rPr>
                <w:color w:val="000000" w:themeColor="text1"/>
              </w:rPr>
              <w:t>P/</w:t>
            </w:r>
            <w:proofErr w:type="spellStart"/>
            <w:r w:rsidRPr="00211F6A">
              <w:rPr>
                <w:color w:val="000000" w:themeColor="text1"/>
              </w:rPr>
              <w:t>Po</w:t>
            </w:r>
            <w:proofErr w:type="spellEnd"/>
            <w:r w:rsidRPr="00211F6A">
              <w:rPr>
                <w:color w:val="000000" w:themeColor="text1"/>
                <w:lang w:val="en-US"/>
              </w:rPr>
              <w:t>*</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14:paraId="5D80C9E1" w14:textId="77777777" w:rsidR="00211F6A" w:rsidRPr="00211F6A" w:rsidRDefault="00211F6A" w:rsidP="008C4448">
            <w:pPr>
              <w:jc w:val="center"/>
              <w:rPr>
                <w:color w:val="000000" w:themeColor="text1"/>
              </w:rPr>
            </w:pPr>
            <w:r w:rsidRPr="00211F6A">
              <w:rPr>
                <w:color w:val="000000" w:themeColor="text1"/>
              </w:rPr>
              <w:t xml:space="preserve">A, </w:t>
            </w:r>
            <w:proofErr w:type="spellStart"/>
            <w:r w:rsidRPr="00211F6A">
              <w:rPr>
                <w:color w:val="000000" w:themeColor="text1"/>
              </w:rPr>
              <w:t>mol</w:t>
            </w:r>
            <w:proofErr w:type="spellEnd"/>
            <w:r w:rsidRPr="00211F6A">
              <w:rPr>
                <w:color w:val="000000" w:themeColor="text1"/>
              </w:rPr>
              <w:t>/</w:t>
            </w:r>
            <w:proofErr w:type="spellStart"/>
            <w:r w:rsidRPr="00211F6A">
              <w:rPr>
                <w:color w:val="000000" w:themeColor="text1"/>
              </w:rPr>
              <w:t>kg</w:t>
            </w:r>
            <w:proofErr w:type="spellEnd"/>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14:paraId="30CDA351" w14:textId="77777777" w:rsidR="00211F6A" w:rsidRPr="00211F6A" w:rsidRDefault="00211F6A" w:rsidP="008C4448">
            <w:pPr>
              <w:jc w:val="center"/>
              <w:rPr>
                <w:color w:val="000000" w:themeColor="text1"/>
              </w:rPr>
            </w:pPr>
            <w:r w:rsidRPr="00211F6A">
              <w:rPr>
                <w:color w:val="000000" w:themeColor="text1"/>
              </w:rPr>
              <w:t xml:space="preserve">U(k=2), </w:t>
            </w:r>
            <w:proofErr w:type="spellStart"/>
            <w:r w:rsidRPr="00211F6A">
              <w:rPr>
                <w:color w:val="000000" w:themeColor="text1"/>
              </w:rPr>
              <w:t>mol</w:t>
            </w:r>
            <w:proofErr w:type="spellEnd"/>
            <w:r w:rsidRPr="00211F6A">
              <w:rPr>
                <w:color w:val="000000" w:themeColor="text1"/>
              </w:rPr>
              <w:t>/</w:t>
            </w:r>
            <w:proofErr w:type="spellStart"/>
            <w:r w:rsidRPr="00211F6A">
              <w:rPr>
                <w:color w:val="000000" w:themeColor="text1"/>
              </w:rPr>
              <w:t>kg</w:t>
            </w:r>
            <w:proofErr w:type="spellEnd"/>
          </w:p>
        </w:tc>
      </w:tr>
      <w:tr w:rsidR="00211F6A" w:rsidRPr="00211F6A" w14:paraId="6B3BCF9B" w14:textId="77777777" w:rsidTr="00C3470E">
        <w:trPr>
          <w:trHeight w:val="300"/>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14:paraId="30421BED" w14:textId="6B9204F7" w:rsidR="00211F6A" w:rsidRPr="00211F6A" w:rsidRDefault="000D5954" w:rsidP="008C4448">
            <w:pPr>
              <w:jc w:val="center"/>
              <w:rPr>
                <w:color w:val="000000" w:themeColor="text1"/>
              </w:rPr>
            </w:pPr>
            <w:r>
              <w:rPr>
                <w:color w:val="000000" w:themeColor="text1"/>
              </w:rPr>
              <w:t>1</w:t>
            </w:r>
          </w:p>
        </w:tc>
        <w:tc>
          <w:tcPr>
            <w:tcW w:w="2268" w:type="dxa"/>
            <w:tcBorders>
              <w:top w:val="nil"/>
              <w:left w:val="nil"/>
              <w:bottom w:val="single" w:sz="4" w:space="0" w:color="auto"/>
              <w:right w:val="single" w:sz="4" w:space="0" w:color="auto"/>
            </w:tcBorders>
            <w:shd w:val="clear" w:color="auto" w:fill="auto"/>
            <w:noWrap/>
            <w:vAlign w:val="bottom"/>
            <w:hideMark/>
          </w:tcPr>
          <w:p w14:paraId="73362E35" w14:textId="174E92A3" w:rsidR="00211F6A" w:rsidRPr="00211F6A" w:rsidRDefault="00211F6A" w:rsidP="008C4448">
            <w:pPr>
              <w:jc w:val="center"/>
              <w:rPr>
                <w:color w:val="000000" w:themeColor="text1"/>
                <w:lang w:val="en-US"/>
              </w:rPr>
            </w:pPr>
            <w:r w:rsidRPr="00211F6A">
              <w:rPr>
                <w:color w:val="000000" w:themeColor="text1"/>
                <w:lang w:val="en-US"/>
              </w:rPr>
              <w:t>1.0</w:t>
            </w:r>
            <w:r w:rsidRPr="00211F6A">
              <w:rPr>
                <w:rFonts w:ascii="Calibri" w:hAnsi="Calibri" w:cs="Calibri"/>
                <w:color w:val="000000" w:themeColor="text1"/>
                <w:lang w:val="en-US"/>
              </w:rPr>
              <w:t>·</w:t>
            </w:r>
            <w:r w:rsidRPr="00211F6A">
              <w:rPr>
                <w:color w:val="000000" w:themeColor="text1"/>
                <w:lang w:val="en-US"/>
              </w:rPr>
              <w:t>10</w:t>
            </w:r>
            <w:r w:rsidRPr="00211F6A">
              <w:rPr>
                <w:color w:val="000000" w:themeColor="text1"/>
                <w:vertAlign w:val="superscript"/>
                <w:lang w:val="en-US"/>
              </w:rPr>
              <w:t>-4</w:t>
            </w:r>
          </w:p>
        </w:tc>
        <w:tc>
          <w:tcPr>
            <w:tcW w:w="2860" w:type="dxa"/>
            <w:tcBorders>
              <w:top w:val="nil"/>
              <w:left w:val="nil"/>
              <w:bottom w:val="single" w:sz="4" w:space="0" w:color="auto"/>
              <w:right w:val="single" w:sz="4" w:space="0" w:color="auto"/>
            </w:tcBorders>
            <w:shd w:val="clear" w:color="auto" w:fill="auto"/>
            <w:noWrap/>
            <w:vAlign w:val="bottom"/>
            <w:hideMark/>
          </w:tcPr>
          <w:p w14:paraId="0097A2AA" w14:textId="77777777" w:rsidR="00211F6A" w:rsidRPr="00211F6A" w:rsidRDefault="00211F6A" w:rsidP="008C4448">
            <w:pPr>
              <w:jc w:val="center"/>
              <w:rPr>
                <w:color w:val="000000" w:themeColor="text1"/>
              </w:rPr>
            </w:pPr>
            <w:r w:rsidRPr="00211F6A">
              <w:rPr>
                <w:color w:val="000000" w:themeColor="text1"/>
              </w:rPr>
              <w:t> </w:t>
            </w:r>
          </w:p>
        </w:tc>
        <w:tc>
          <w:tcPr>
            <w:tcW w:w="2860" w:type="dxa"/>
            <w:tcBorders>
              <w:top w:val="nil"/>
              <w:left w:val="nil"/>
              <w:bottom w:val="single" w:sz="4" w:space="0" w:color="auto"/>
              <w:right w:val="single" w:sz="4" w:space="0" w:color="auto"/>
            </w:tcBorders>
            <w:shd w:val="clear" w:color="auto" w:fill="auto"/>
            <w:noWrap/>
            <w:vAlign w:val="bottom"/>
            <w:hideMark/>
          </w:tcPr>
          <w:p w14:paraId="54480D87" w14:textId="77777777" w:rsidR="00211F6A" w:rsidRPr="00211F6A" w:rsidRDefault="00211F6A" w:rsidP="008C4448">
            <w:pPr>
              <w:jc w:val="center"/>
              <w:rPr>
                <w:color w:val="000000" w:themeColor="text1"/>
              </w:rPr>
            </w:pPr>
            <w:r w:rsidRPr="00211F6A">
              <w:rPr>
                <w:color w:val="000000" w:themeColor="text1"/>
              </w:rPr>
              <w:t> </w:t>
            </w:r>
          </w:p>
        </w:tc>
      </w:tr>
      <w:tr w:rsidR="00211F6A" w:rsidRPr="00211F6A" w14:paraId="4CB74BD5" w14:textId="77777777" w:rsidTr="00C3470E">
        <w:trPr>
          <w:trHeight w:val="300"/>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14:paraId="70985143" w14:textId="229894ED" w:rsidR="00211F6A" w:rsidRPr="00211F6A" w:rsidRDefault="000D5954" w:rsidP="008C4448">
            <w:pPr>
              <w:jc w:val="center"/>
              <w:rPr>
                <w:color w:val="000000" w:themeColor="text1"/>
              </w:rPr>
            </w:pPr>
            <w:r>
              <w:rPr>
                <w:color w:val="000000" w:themeColor="text1"/>
              </w:rPr>
              <w:t>2</w:t>
            </w:r>
          </w:p>
        </w:tc>
        <w:tc>
          <w:tcPr>
            <w:tcW w:w="2268" w:type="dxa"/>
            <w:tcBorders>
              <w:top w:val="nil"/>
              <w:left w:val="nil"/>
              <w:bottom w:val="single" w:sz="4" w:space="0" w:color="auto"/>
              <w:right w:val="single" w:sz="4" w:space="0" w:color="auto"/>
            </w:tcBorders>
            <w:shd w:val="clear" w:color="auto" w:fill="auto"/>
            <w:noWrap/>
            <w:vAlign w:val="bottom"/>
            <w:hideMark/>
          </w:tcPr>
          <w:p w14:paraId="1E725D2B" w14:textId="6F22E6E6" w:rsidR="00211F6A" w:rsidRPr="00211F6A" w:rsidRDefault="00211F6A" w:rsidP="008C4448">
            <w:pPr>
              <w:jc w:val="center"/>
              <w:rPr>
                <w:color w:val="000000" w:themeColor="text1"/>
                <w:lang w:val="en-US"/>
              </w:rPr>
            </w:pPr>
            <w:r w:rsidRPr="00211F6A">
              <w:rPr>
                <w:color w:val="000000" w:themeColor="text1"/>
                <w:lang w:val="en-US"/>
              </w:rPr>
              <w:t>1.0</w:t>
            </w:r>
            <w:r w:rsidRPr="00211F6A">
              <w:rPr>
                <w:rFonts w:ascii="Calibri" w:hAnsi="Calibri" w:cs="Calibri"/>
                <w:color w:val="000000" w:themeColor="text1"/>
                <w:lang w:val="en-US"/>
              </w:rPr>
              <w:t>·</w:t>
            </w:r>
            <w:r w:rsidRPr="00211F6A">
              <w:rPr>
                <w:color w:val="000000" w:themeColor="text1"/>
                <w:lang w:val="en-US"/>
              </w:rPr>
              <w:t>10</w:t>
            </w:r>
            <w:r w:rsidRPr="00211F6A">
              <w:rPr>
                <w:color w:val="000000" w:themeColor="text1"/>
                <w:vertAlign w:val="superscript"/>
                <w:lang w:val="en-US"/>
              </w:rPr>
              <w:t>-3</w:t>
            </w:r>
          </w:p>
        </w:tc>
        <w:tc>
          <w:tcPr>
            <w:tcW w:w="2860" w:type="dxa"/>
            <w:tcBorders>
              <w:top w:val="nil"/>
              <w:left w:val="nil"/>
              <w:bottom w:val="single" w:sz="4" w:space="0" w:color="auto"/>
              <w:right w:val="single" w:sz="4" w:space="0" w:color="auto"/>
            </w:tcBorders>
            <w:shd w:val="clear" w:color="auto" w:fill="auto"/>
            <w:noWrap/>
            <w:vAlign w:val="bottom"/>
            <w:hideMark/>
          </w:tcPr>
          <w:p w14:paraId="246D0EC4" w14:textId="77777777" w:rsidR="00211F6A" w:rsidRPr="00211F6A" w:rsidRDefault="00211F6A" w:rsidP="008C4448">
            <w:pPr>
              <w:jc w:val="center"/>
              <w:rPr>
                <w:color w:val="000000" w:themeColor="text1"/>
              </w:rPr>
            </w:pPr>
            <w:r w:rsidRPr="00211F6A">
              <w:rPr>
                <w:color w:val="000000" w:themeColor="text1"/>
              </w:rPr>
              <w:t> </w:t>
            </w:r>
          </w:p>
        </w:tc>
        <w:tc>
          <w:tcPr>
            <w:tcW w:w="2860" w:type="dxa"/>
            <w:tcBorders>
              <w:top w:val="nil"/>
              <w:left w:val="nil"/>
              <w:bottom w:val="single" w:sz="4" w:space="0" w:color="auto"/>
              <w:right w:val="single" w:sz="4" w:space="0" w:color="auto"/>
            </w:tcBorders>
            <w:shd w:val="clear" w:color="auto" w:fill="auto"/>
            <w:noWrap/>
            <w:vAlign w:val="bottom"/>
            <w:hideMark/>
          </w:tcPr>
          <w:p w14:paraId="06DC4E5F" w14:textId="77777777" w:rsidR="00211F6A" w:rsidRPr="00211F6A" w:rsidRDefault="00211F6A" w:rsidP="008C4448">
            <w:pPr>
              <w:jc w:val="center"/>
              <w:rPr>
                <w:color w:val="000000" w:themeColor="text1"/>
              </w:rPr>
            </w:pPr>
            <w:r w:rsidRPr="00211F6A">
              <w:rPr>
                <w:color w:val="000000" w:themeColor="text1"/>
              </w:rPr>
              <w:t> </w:t>
            </w:r>
          </w:p>
        </w:tc>
      </w:tr>
      <w:tr w:rsidR="00211F6A" w:rsidRPr="00211F6A" w14:paraId="588BEEEE" w14:textId="77777777" w:rsidTr="00C3470E">
        <w:trPr>
          <w:trHeight w:val="300"/>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14:paraId="2EE5027F" w14:textId="5FB89E60" w:rsidR="00211F6A" w:rsidRPr="00211F6A" w:rsidRDefault="000D5954" w:rsidP="008C4448">
            <w:pPr>
              <w:jc w:val="center"/>
              <w:rPr>
                <w:color w:val="000000" w:themeColor="text1"/>
              </w:rPr>
            </w:pPr>
            <w:r>
              <w:rPr>
                <w:color w:val="000000" w:themeColor="text1"/>
              </w:rPr>
              <w:t>3</w:t>
            </w:r>
          </w:p>
        </w:tc>
        <w:tc>
          <w:tcPr>
            <w:tcW w:w="2268" w:type="dxa"/>
            <w:tcBorders>
              <w:top w:val="nil"/>
              <w:left w:val="nil"/>
              <w:bottom w:val="single" w:sz="4" w:space="0" w:color="auto"/>
              <w:right w:val="single" w:sz="4" w:space="0" w:color="auto"/>
            </w:tcBorders>
            <w:shd w:val="clear" w:color="auto" w:fill="auto"/>
            <w:noWrap/>
            <w:vAlign w:val="bottom"/>
            <w:hideMark/>
          </w:tcPr>
          <w:p w14:paraId="229D8CFE" w14:textId="2BB8FC61" w:rsidR="00211F6A" w:rsidRPr="00211F6A" w:rsidRDefault="00211F6A" w:rsidP="008C4448">
            <w:pPr>
              <w:jc w:val="center"/>
              <w:rPr>
                <w:color w:val="000000" w:themeColor="text1"/>
                <w:lang w:val="en-US"/>
              </w:rPr>
            </w:pPr>
            <w:r w:rsidRPr="00211F6A">
              <w:rPr>
                <w:color w:val="000000" w:themeColor="text1"/>
                <w:lang w:val="en-US"/>
              </w:rPr>
              <w:t>1.0</w:t>
            </w:r>
            <w:r w:rsidRPr="00211F6A">
              <w:rPr>
                <w:rFonts w:ascii="Calibri" w:hAnsi="Calibri" w:cs="Calibri"/>
                <w:color w:val="000000" w:themeColor="text1"/>
                <w:lang w:val="en-US"/>
              </w:rPr>
              <w:t>·</w:t>
            </w:r>
            <w:r w:rsidRPr="00211F6A">
              <w:rPr>
                <w:color w:val="000000" w:themeColor="text1"/>
                <w:lang w:val="en-US"/>
              </w:rPr>
              <w:t>10</w:t>
            </w:r>
            <w:r w:rsidRPr="00211F6A">
              <w:rPr>
                <w:color w:val="000000" w:themeColor="text1"/>
                <w:vertAlign w:val="superscript"/>
                <w:lang w:val="en-US"/>
              </w:rPr>
              <w:t>-2</w:t>
            </w:r>
          </w:p>
        </w:tc>
        <w:tc>
          <w:tcPr>
            <w:tcW w:w="2860" w:type="dxa"/>
            <w:tcBorders>
              <w:top w:val="nil"/>
              <w:left w:val="nil"/>
              <w:bottom w:val="single" w:sz="4" w:space="0" w:color="auto"/>
              <w:right w:val="single" w:sz="4" w:space="0" w:color="auto"/>
            </w:tcBorders>
            <w:shd w:val="clear" w:color="auto" w:fill="auto"/>
            <w:noWrap/>
            <w:vAlign w:val="bottom"/>
            <w:hideMark/>
          </w:tcPr>
          <w:p w14:paraId="1136B15C" w14:textId="77777777" w:rsidR="00211F6A" w:rsidRPr="00211F6A" w:rsidRDefault="00211F6A" w:rsidP="008C4448">
            <w:pPr>
              <w:jc w:val="center"/>
              <w:rPr>
                <w:color w:val="000000" w:themeColor="text1"/>
              </w:rPr>
            </w:pPr>
            <w:r w:rsidRPr="00211F6A">
              <w:rPr>
                <w:color w:val="000000" w:themeColor="text1"/>
              </w:rPr>
              <w:t> </w:t>
            </w:r>
          </w:p>
        </w:tc>
        <w:tc>
          <w:tcPr>
            <w:tcW w:w="2860" w:type="dxa"/>
            <w:tcBorders>
              <w:top w:val="nil"/>
              <w:left w:val="nil"/>
              <w:bottom w:val="single" w:sz="4" w:space="0" w:color="auto"/>
              <w:right w:val="single" w:sz="4" w:space="0" w:color="auto"/>
            </w:tcBorders>
            <w:shd w:val="clear" w:color="auto" w:fill="auto"/>
            <w:noWrap/>
            <w:vAlign w:val="bottom"/>
            <w:hideMark/>
          </w:tcPr>
          <w:p w14:paraId="7A3EDC07" w14:textId="77777777" w:rsidR="00211F6A" w:rsidRPr="00211F6A" w:rsidRDefault="00211F6A" w:rsidP="008C4448">
            <w:pPr>
              <w:jc w:val="center"/>
              <w:rPr>
                <w:color w:val="000000" w:themeColor="text1"/>
              </w:rPr>
            </w:pPr>
            <w:r w:rsidRPr="00211F6A">
              <w:rPr>
                <w:color w:val="000000" w:themeColor="text1"/>
              </w:rPr>
              <w:t> </w:t>
            </w:r>
          </w:p>
        </w:tc>
      </w:tr>
      <w:tr w:rsidR="00211F6A" w:rsidRPr="00211F6A" w14:paraId="261B4516" w14:textId="77777777" w:rsidTr="00C3470E">
        <w:trPr>
          <w:trHeight w:val="300"/>
        </w:trPr>
        <w:tc>
          <w:tcPr>
            <w:tcW w:w="1814" w:type="dxa"/>
            <w:tcBorders>
              <w:top w:val="nil"/>
              <w:left w:val="single" w:sz="4" w:space="0" w:color="auto"/>
              <w:bottom w:val="single" w:sz="4" w:space="0" w:color="auto"/>
              <w:right w:val="single" w:sz="4" w:space="0" w:color="auto"/>
            </w:tcBorders>
            <w:shd w:val="clear" w:color="auto" w:fill="auto"/>
            <w:noWrap/>
            <w:vAlign w:val="bottom"/>
            <w:hideMark/>
          </w:tcPr>
          <w:p w14:paraId="0B59FA01" w14:textId="552A7CAE" w:rsidR="00211F6A" w:rsidRPr="00211F6A" w:rsidRDefault="000D5954" w:rsidP="008C4448">
            <w:pPr>
              <w:jc w:val="center"/>
              <w:rPr>
                <w:color w:val="000000" w:themeColor="text1"/>
              </w:rPr>
            </w:pPr>
            <w:r>
              <w:rPr>
                <w:color w:val="000000" w:themeColor="text1"/>
              </w:rPr>
              <w:t>4</w:t>
            </w:r>
          </w:p>
        </w:tc>
        <w:tc>
          <w:tcPr>
            <w:tcW w:w="2268" w:type="dxa"/>
            <w:tcBorders>
              <w:top w:val="nil"/>
              <w:left w:val="nil"/>
              <w:bottom w:val="single" w:sz="4" w:space="0" w:color="auto"/>
              <w:right w:val="single" w:sz="4" w:space="0" w:color="auto"/>
            </w:tcBorders>
            <w:shd w:val="clear" w:color="auto" w:fill="auto"/>
            <w:noWrap/>
            <w:vAlign w:val="bottom"/>
            <w:hideMark/>
          </w:tcPr>
          <w:p w14:paraId="15D8AE2A" w14:textId="1FD5FA0E" w:rsidR="00211F6A" w:rsidRPr="00211F6A" w:rsidRDefault="00211F6A" w:rsidP="008C4448">
            <w:pPr>
              <w:jc w:val="center"/>
              <w:rPr>
                <w:color w:val="000000" w:themeColor="text1"/>
                <w:lang w:val="en-US"/>
              </w:rPr>
            </w:pPr>
            <w:r w:rsidRPr="00211F6A">
              <w:rPr>
                <w:color w:val="000000" w:themeColor="text1"/>
                <w:lang w:val="en-US"/>
              </w:rPr>
              <w:t>1.0</w:t>
            </w:r>
            <w:r w:rsidRPr="00211F6A">
              <w:rPr>
                <w:rFonts w:ascii="Calibri" w:hAnsi="Calibri" w:cs="Calibri"/>
                <w:color w:val="000000" w:themeColor="text1"/>
                <w:lang w:val="en-US"/>
              </w:rPr>
              <w:t>·</w:t>
            </w:r>
            <w:r w:rsidRPr="00211F6A">
              <w:rPr>
                <w:color w:val="000000" w:themeColor="text1"/>
                <w:lang w:val="en-US"/>
              </w:rPr>
              <w:t>10</w:t>
            </w:r>
            <w:r w:rsidRPr="00211F6A">
              <w:rPr>
                <w:color w:val="000000" w:themeColor="text1"/>
                <w:vertAlign w:val="superscript"/>
                <w:lang w:val="en-US"/>
              </w:rPr>
              <w:t>-1</w:t>
            </w:r>
          </w:p>
        </w:tc>
        <w:tc>
          <w:tcPr>
            <w:tcW w:w="2860" w:type="dxa"/>
            <w:tcBorders>
              <w:top w:val="nil"/>
              <w:left w:val="nil"/>
              <w:bottom w:val="single" w:sz="4" w:space="0" w:color="auto"/>
              <w:right w:val="single" w:sz="4" w:space="0" w:color="auto"/>
            </w:tcBorders>
            <w:shd w:val="clear" w:color="auto" w:fill="auto"/>
            <w:noWrap/>
            <w:vAlign w:val="bottom"/>
            <w:hideMark/>
          </w:tcPr>
          <w:p w14:paraId="349E44C5" w14:textId="77777777" w:rsidR="00211F6A" w:rsidRPr="00211F6A" w:rsidRDefault="00211F6A" w:rsidP="008C4448">
            <w:pPr>
              <w:jc w:val="center"/>
              <w:rPr>
                <w:color w:val="000000" w:themeColor="text1"/>
              </w:rPr>
            </w:pPr>
            <w:r w:rsidRPr="00211F6A">
              <w:rPr>
                <w:color w:val="000000" w:themeColor="text1"/>
              </w:rPr>
              <w:t> </w:t>
            </w:r>
          </w:p>
        </w:tc>
        <w:tc>
          <w:tcPr>
            <w:tcW w:w="2860" w:type="dxa"/>
            <w:tcBorders>
              <w:top w:val="nil"/>
              <w:left w:val="nil"/>
              <w:bottom w:val="single" w:sz="4" w:space="0" w:color="auto"/>
              <w:right w:val="single" w:sz="4" w:space="0" w:color="auto"/>
            </w:tcBorders>
            <w:shd w:val="clear" w:color="auto" w:fill="auto"/>
            <w:noWrap/>
            <w:vAlign w:val="bottom"/>
            <w:hideMark/>
          </w:tcPr>
          <w:p w14:paraId="36C1064B" w14:textId="77777777" w:rsidR="00211F6A" w:rsidRPr="00211F6A" w:rsidRDefault="00211F6A" w:rsidP="008C4448">
            <w:pPr>
              <w:jc w:val="center"/>
              <w:rPr>
                <w:color w:val="000000" w:themeColor="text1"/>
              </w:rPr>
            </w:pPr>
            <w:r w:rsidRPr="00211F6A">
              <w:rPr>
                <w:color w:val="000000" w:themeColor="text1"/>
              </w:rPr>
              <w:t> </w:t>
            </w:r>
          </w:p>
        </w:tc>
      </w:tr>
    </w:tbl>
    <w:p w14:paraId="757C2F1D" w14:textId="6786CB98" w:rsidR="00211F6A" w:rsidRPr="00211F6A" w:rsidRDefault="00211F6A" w:rsidP="00211F6A">
      <w:pPr>
        <w:jc w:val="both"/>
        <w:rPr>
          <w:b/>
          <w:bCs/>
          <w:color w:val="000000" w:themeColor="text1"/>
          <w:szCs w:val="20"/>
          <w:lang w:val="en-US"/>
        </w:rPr>
      </w:pPr>
      <w:r w:rsidRPr="00211F6A">
        <w:rPr>
          <w:i/>
          <w:color w:val="000000" w:themeColor="text1"/>
          <w:u w:val="single"/>
          <w:lang w:val="en-GB"/>
        </w:rPr>
        <w:t>If relative pressure is not exactly equal to</w:t>
      </w:r>
      <w:r w:rsidRPr="00211F6A">
        <w:rPr>
          <w:b/>
          <w:i/>
          <w:color w:val="000000" w:themeColor="text1"/>
          <w:u w:val="single"/>
          <w:lang w:val="en-US"/>
        </w:rPr>
        <w:t xml:space="preserve"> P/Po=1,0·10</w:t>
      </w:r>
      <w:r w:rsidRPr="00211F6A">
        <w:rPr>
          <w:b/>
          <w:i/>
          <w:color w:val="000000" w:themeColor="text1"/>
          <w:u w:val="single"/>
          <w:vertAlign w:val="superscript"/>
          <w:lang w:val="en-US"/>
        </w:rPr>
        <w:t>-4</w:t>
      </w:r>
      <w:r w:rsidRPr="00211F6A">
        <w:rPr>
          <w:b/>
          <w:i/>
          <w:color w:val="000000" w:themeColor="text1"/>
          <w:u w:val="single"/>
          <w:lang w:val="en-US"/>
        </w:rPr>
        <w:t>; P/Po=1,0·10</w:t>
      </w:r>
      <w:r w:rsidRPr="00211F6A">
        <w:rPr>
          <w:b/>
          <w:i/>
          <w:color w:val="000000" w:themeColor="text1"/>
          <w:u w:val="single"/>
          <w:vertAlign w:val="superscript"/>
          <w:lang w:val="en-US"/>
        </w:rPr>
        <w:t>-3</w:t>
      </w:r>
      <w:r w:rsidRPr="00211F6A">
        <w:rPr>
          <w:b/>
          <w:i/>
          <w:color w:val="000000" w:themeColor="text1"/>
          <w:u w:val="single"/>
          <w:lang w:val="en-US"/>
        </w:rPr>
        <w:t>; P/Po=1,0·10</w:t>
      </w:r>
      <w:r w:rsidRPr="00211F6A">
        <w:rPr>
          <w:b/>
          <w:i/>
          <w:color w:val="000000" w:themeColor="text1"/>
          <w:u w:val="single"/>
          <w:vertAlign w:val="superscript"/>
          <w:lang w:val="en-US"/>
        </w:rPr>
        <w:t>-2</w:t>
      </w:r>
      <w:r w:rsidRPr="00211F6A">
        <w:rPr>
          <w:b/>
          <w:i/>
          <w:color w:val="000000" w:themeColor="text1"/>
          <w:u w:val="single"/>
          <w:lang w:val="en-US"/>
        </w:rPr>
        <w:t>; P/Po=1,0·10</w:t>
      </w:r>
      <w:r w:rsidRPr="00211F6A">
        <w:rPr>
          <w:b/>
          <w:i/>
          <w:color w:val="000000" w:themeColor="text1"/>
          <w:u w:val="single"/>
          <w:vertAlign w:val="superscript"/>
          <w:lang w:val="en-US"/>
        </w:rPr>
        <w:t>-1</w:t>
      </w:r>
      <w:r w:rsidRPr="00211F6A">
        <w:rPr>
          <w:i/>
          <w:color w:val="000000" w:themeColor="text1"/>
          <w:u w:val="single"/>
          <w:lang w:val="en-GB"/>
        </w:rPr>
        <w:t>, please calculate specific adsorption values using linear interpolation</w:t>
      </w:r>
      <w:r w:rsidRPr="00211F6A">
        <w:rPr>
          <w:i/>
          <w:color w:val="000000" w:themeColor="text1"/>
          <w:u w:val="single"/>
          <w:lang w:val="en-US"/>
        </w:rPr>
        <w:t>.</w:t>
      </w:r>
    </w:p>
    <w:p w14:paraId="3E73FC02" w14:textId="0297A2FC" w:rsidR="00211F6A" w:rsidRPr="00211F6A" w:rsidRDefault="00211F6A" w:rsidP="001B4010">
      <w:pPr>
        <w:jc w:val="both"/>
        <w:rPr>
          <w:b/>
          <w:bCs/>
          <w:color w:val="000000" w:themeColor="text1"/>
          <w:szCs w:val="20"/>
          <w:lang w:val="en-US"/>
        </w:rPr>
      </w:pPr>
    </w:p>
    <w:p w14:paraId="3226ED43" w14:textId="1A68E9A0" w:rsidR="00211F6A" w:rsidRPr="00211F6A" w:rsidRDefault="00211F6A" w:rsidP="001B4010">
      <w:pPr>
        <w:jc w:val="both"/>
        <w:rPr>
          <w:b/>
          <w:bCs/>
          <w:color w:val="000000" w:themeColor="text1"/>
          <w:szCs w:val="20"/>
          <w:lang w:val="en-GB"/>
        </w:rPr>
      </w:pPr>
    </w:p>
    <w:p w14:paraId="45D76123" w14:textId="77777777" w:rsidR="00211F6A" w:rsidRDefault="00211F6A" w:rsidP="001B4010">
      <w:pPr>
        <w:jc w:val="both"/>
        <w:rPr>
          <w:b/>
          <w:bCs/>
          <w:szCs w:val="20"/>
          <w:lang w:val="en-GB"/>
        </w:rPr>
      </w:pPr>
    </w:p>
    <w:p w14:paraId="282539D1" w14:textId="77777777" w:rsidR="006E3327" w:rsidRDefault="006E3327" w:rsidP="001B4010">
      <w:pPr>
        <w:jc w:val="both"/>
        <w:rPr>
          <w:b/>
          <w:bCs/>
          <w:szCs w:val="20"/>
          <w:lang w:val="en-GB"/>
        </w:rPr>
      </w:pPr>
      <w:r>
        <w:rPr>
          <w:b/>
          <w:bCs/>
          <w:szCs w:val="20"/>
          <w:lang w:val="en-GB"/>
        </w:rPr>
        <w:t>4. KCRVs</w:t>
      </w:r>
    </w:p>
    <w:p w14:paraId="3727CCE9" w14:textId="554BF44D" w:rsidR="007D110F" w:rsidRPr="00CA1995" w:rsidRDefault="007D110F" w:rsidP="007D110F">
      <w:pPr>
        <w:pStyle w:val="a3"/>
        <w:numPr>
          <w:ilvl w:val="0"/>
          <w:numId w:val="5"/>
        </w:numPr>
        <w:jc w:val="both"/>
        <w:rPr>
          <w:rFonts w:ascii="Times New Roman" w:hAnsi="Times New Roman"/>
          <w:sz w:val="24"/>
          <w:szCs w:val="24"/>
          <w:lang w:val="en-US"/>
        </w:rPr>
      </w:pPr>
      <w:r w:rsidRPr="00CA1995">
        <w:rPr>
          <w:rFonts w:ascii="Times New Roman" w:hAnsi="Times New Roman"/>
          <w:sz w:val="24"/>
          <w:szCs w:val="24"/>
          <w:lang w:val="en-US"/>
        </w:rPr>
        <w:t>The p</w:t>
      </w:r>
      <w:r w:rsidR="006E3327" w:rsidRPr="00CA1995">
        <w:rPr>
          <w:rFonts w:ascii="Times New Roman" w:hAnsi="Times New Roman"/>
          <w:sz w:val="24"/>
          <w:szCs w:val="24"/>
          <w:lang w:val="en-US"/>
        </w:rPr>
        <w:t xml:space="preserve">rocessing of measurement results of </w:t>
      </w:r>
      <w:r w:rsidR="00CA2E38" w:rsidRPr="00CA1995">
        <w:rPr>
          <w:rFonts w:ascii="Times New Roman" w:hAnsi="Times New Roman"/>
          <w:sz w:val="24"/>
          <w:szCs w:val="24"/>
          <w:lang w:val="en-US"/>
        </w:rPr>
        <w:t>specific adsorption nitrogen, specific surface area</w:t>
      </w:r>
      <w:r w:rsidRPr="00CA1995">
        <w:rPr>
          <w:rFonts w:ascii="Times New Roman" w:hAnsi="Times New Roman"/>
          <w:sz w:val="24"/>
          <w:szCs w:val="24"/>
          <w:lang w:val="en-US"/>
        </w:rPr>
        <w:t xml:space="preserve"> to the pilot lab </w:t>
      </w:r>
      <w:r w:rsidR="006E3327" w:rsidRPr="00CA1995">
        <w:rPr>
          <w:rFonts w:ascii="Times New Roman" w:hAnsi="Times New Roman"/>
          <w:sz w:val="24"/>
          <w:szCs w:val="24"/>
          <w:lang w:val="en-US"/>
        </w:rPr>
        <w:t xml:space="preserve">will be carried </w:t>
      </w:r>
      <w:r w:rsidR="00CA2E38" w:rsidRPr="00CA1995">
        <w:rPr>
          <w:rFonts w:ascii="Times New Roman" w:hAnsi="Times New Roman"/>
          <w:sz w:val="24"/>
          <w:szCs w:val="24"/>
          <w:lang w:val="en-US"/>
        </w:rPr>
        <w:t xml:space="preserve">out according to the following </w:t>
      </w:r>
      <w:proofErr w:type="spellStart"/>
      <w:r w:rsidR="00CA2E38" w:rsidRPr="00CA1995">
        <w:rPr>
          <w:rFonts w:ascii="Times New Roman" w:hAnsi="Times New Roman"/>
          <w:sz w:val="24"/>
          <w:szCs w:val="24"/>
          <w:lang w:val="en-US"/>
        </w:rPr>
        <w:t>documents</w:t>
      </w:r>
      <w:r w:rsidR="006E3327" w:rsidRPr="00CA1995">
        <w:rPr>
          <w:rFonts w:ascii="Times New Roman" w:hAnsi="Times New Roman"/>
          <w:sz w:val="24"/>
          <w:szCs w:val="24"/>
          <w:lang w:val="en-US"/>
        </w:rPr>
        <w:t>:</w:t>
      </w:r>
      <w:r w:rsidR="009C5DA0" w:rsidRPr="00CA1995">
        <w:rPr>
          <w:rFonts w:ascii="Times New Roman" w:hAnsi="Times New Roman"/>
          <w:sz w:val="24"/>
          <w:szCs w:val="24"/>
          <w:lang w:val="en-US"/>
        </w:rPr>
        <w:t>CCQM</w:t>
      </w:r>
      <w:proofErr w:type="spellEnd"/>
      <w:r w:rsidR="009C5DA0" w:rsidRPr="00CA1995">
        <w:rPr>
          <w:rFonts w:ascii="Times New Roman" w:hAnsi="Times New Roman"/>
          <w:sz w:val="24"/>
          <w:szCs w:val="24"/>
          <w:lang w:val="en-US"/>
        </w:rPr>
        <w:t xml:space="preserve"> Guidance note: Estimation of a consensus KCRV and associated Degrees of Equivalence (version: 6, Date 2010-03-01, Draft)</w:t>
      </w:r>
    </w:p>
    <w:p w14:paraId="0CECD326" w14:textId="77777777" w:rsidR="007D110F" w:rsidRPr="00CA1995" w:rsidRDefault="006E3327" w:rsidP="007D110F">
      <w:pPr>
        <w:pStyle w:val="a3"/>
        <w:numPr>
          <w:ilvl w:val="0"/>
          <w:numId w:val="5"/>
        </w:numPr>
        <w:jc w:val="both"/>
        <w:rPr>
          <w:rFonts w:ascii="Times New Roman" w:hAnsi="Times New Roman"/>
          <w:sz w:val="24"/>
          <w:szCs w:val="24"/>
          <w:lang w:val="en-US"/>
        </w:rPr>
      </w:pPr>
      <w:r w:rsidRPr="00CA1995">
        <w:rPr>
          <w:rFonts w:ascii="Times New Roman" w:hAnsi="Times New Roman"/>
          <w:sz w:val="24"/>
          <w:szCs w:val="24"/>
          <w:lang w:val="en-US"/>
        </w:rPr>
        <w:t>Cox M.G. “The evaluation of key comparison data” [</w:t>
      </w:r>
      <w:r w:rsidR="009C5DA0" w:rsidRPr="00CA1995">
        <w:rPr>
          <w:rFonts w:ascii="Times New Roman" w:hAnsi="Times New Roman"/>
          <w:sz w:val="24"/>
          <w:szCs w:val="24"/>
          <w:lang w:val="en-US"/>
        </w:rPr>
        <w:t>1</w:t>
      </w:r>
      <w:r w:rsidRPr="00CA1995">
        <w:rPr>
          <w:rFonts w:ascii="Times New Roman" w:hAnsi="Times New Roman"/>
          <w:sz w:val="24"/>
          <w:szCs w:val="24"/>
          <w:lang w:val="en-US"/>
        </w:rPr>
        <w:t>]</w:t>
      </w:r>
    </w:p>
    <w:p w14:paraId="746D1DBC" w14:textId="77777777" w:rsidR="006E3327" w:rsidRPr="00CA1995" w:rsidRDefault="006E3327" w:rsidP="007D110F">
      <w:pPr>
        <w:pStyle w:val="a3"/>
        <w:numPr>
          <w:ilvl w:val="0"/>
          <w:numId w:val="5"/>
        </w:numPr>
        <w:jc w:val="both"/>
        <w:rPr>
          <w:rFonts w:ascii="Times New Roman" w:hAnsi="Times New Roman"/>
          <w:sz w:val="24"/>
          <w:szCs w:val="24"/>
          <w:lang w:val="en-US"/>
        </w:rPr>
      </w:pPr>
      <w:proofErr w:type="spellStart"/>
      <w:r w:rsidRPr="00CA1995">
        <w:rPr>
          <w:rFonts w:ascii="Times New Roman" w:hAnsi="Times New Roman"/>
          <w:sz w:val="24"/>
          <w:szCs w:val="24"/>
          <w:lang w:val="en-US"/>
        </w:rPr>
        <w:t>Jorg</w:t>
      </w:r>
      <w:proofErr w:type="spellEnd"/>
      <w:r w:rsidRPr="00CA1995">
        <w:rPr>
          <w:rFonts w:ascii="Times New Roman" w:hAnsi="Times New Roman"/>
          <w:sz w:val="24"/>
          <w:szCs w:val="24"/>
          <w:lang w:val="en-US"/>
        </w:rPr>
        <w:t xml:space="preserve"> </w:t>
      </w:r>
      <w:proofErr w:type="spellStart"/>
      <w:proofErr w:type="gramStart"/>
      <w:r w:rsidRPr="00CA1995">
        <w:rPr>
          <w:rFonts w:ascii="Times New Roman" w:hAnsi="Times New Roman"/>
          <w:sz w:val="24"/>
          <w:szCs w:val="24"/>
          <w:lang w:val="en-US"/>
        </w:rPr>
        <w:t>W.Muller</w:t>
      </w:r>
      <w:proofErr w:type="spellEnd"/>
      <w:proofErr w:type="gramEnd"/>
      <w:r w:rsidRPr="00CA1995">
        <w:rPr>
          <w:rFonts w:ascii="Times New Roman" w:hAnsi="Times New Roman"/>
          <w:sz w:val="24"/>
          <w:szCs w:val="24"/>
          <w:lang w:val="en-US"/>
        </w:rPr>
        <w:t>. “Possible Advantages of a Robust Evaluation of Comparisons” [</w:t>
      </w:r>
      <w:r w:rsidR="009C5DA0" w:rsidRPr="00CA1995">
        <w:rPr>
          <w:rFonts w:ascii="Times New Roman" w:hAnsi="Times New Roman"/>
          <w:sz w:val="24"/>
          <w:szCs w:val="24"/>
          <w:lang w:val="en-US"/>
        </w:rPr>
        <w:t>2</w:t>
      </w:r>
      <w:r w:rsidRPr="00CA1995">
        <w:rPr>
          <w:rFonts w:ascii="Times New Roman" w:hAnsi="Times New Roman"/>
          <w:sz w:val="24"/>
          <w:szCs w:val="24"/>
          <w:lang w:val="en-US"/>
        </w:rPr>
        <w:t>]</w:t>
      </w:r>
      <w:r w:rsidR="007D110F" w:rsidRPr="00CA1995">
        <w:rPr>
          <w:rFonts w:ascii="Times New Roman" w:hAnsi="Times New Roman"/>
          <w:sz w:val="24"/>
          <w:szCs w:val="24"/>
          <w:lang w:val="en-US"/>
        </w:rPr>
        <w:t>.</w:t>
      </w:r>
    </w:p>
    <w:p w14:paraId="191AB9B3" w14:textId="77777777" w:rsidR="00EE40AE" w:rsidRDefault="00EE40AE" w:rsidP="00C56FE3">
      <w:pPr>
        <w:ind w:firstLine="709"/>
        <w:jc w:val="both"/>
        <w:rPr>
          <w:lang w:val="en-US"/>
        </w:rPr>
      </w:pPr>
    </w:p>
    <w:p w14:paraId="3152BA01" w14:textId="77777777" w:rsidR="006E3327" w:rsidRDefault="006E3327" w:rsidP="001B4010">
      <w:pPr>
        <w:jc w:val="both"/>
        <w:rPr>
          <w:b/>
          <w:bCs/>
          <w:szCs w:val="20"/>
          <w:lang w:val="en-GB"/>
        </w:rPr>
      </w:pPr>
      <w:r>
        <w:rPr>
          <w:b/>
          <w:bCs/>
          <w:szCs w:val="20"/>
          <w:lang w:val="en-GB"/>
        </w:rPr>
        <w:t>5. Methods of measurement</w:t>
      </w:r>
    </w:p>
    <w:p w14:paraId="4DB6981F" w14:textId="612E6A8C" w:rsidR="00345259" w:rsidRDefault="00211F6A" w:rsidP="00211F6A">
      <w:pPr>
        <w:ind w:firstLine="709"/>
        <w:rPr>
          <w:rFonts w:eastAsia="Calibri"/>
          <w:lang w:val="en-US"/>
        </w:rPr>
      </w:pPr>
      <w:r>
        <w:rPr>
          <w:lang w:val="en-GB"/>
        </w:rPr>
        <w:t>Each participant should use the</w:t>
      </w:r>
      <w:r>
        <w:rPr>
          <w:lang w:val="en-US"/>
        </w:rPr>
        <w:t xml:space="preserve"> gas adsorption</w:t>
      </w:r>
      <w:r>
        <w:rPr>
          <w:lang w:val="en-GB"/>
        </w:rPr>
        <w:t xml:space="preserve"> method for the measurement of the </w:t>
      </w:r>
      <w:r>
        <w:rPr>
          <w:lang w:val="en-US"/>
        </w:rPr>
        <w:t xml:space="preserve">specific adsorption argon, specific surface area, specific pore volume and pore diameter of zeolite </w:t>
      </w:r>
      <w:r w:rsidR="00D01039">
        <w:rPr>
          <w:lang w:val="en-US"/>
        </w:rPr>
        <w:t>as defined in I</w:t>
      </w:r>
      <w:r w:rsidR="00D01039" w:rsidRPr="00345259">
        <w:rPr>
          <w:rFonts w:eastAsia="Calibri"/>
          <w:lang w:val="en-US" w:eastAsia="en-US"/>
        </w:rPr>
        <w:t>SO 15901-</w:t>
      </w:r>
      <w:r>
        <w:rPr>
          <w:rFonts w:eastAsia="Calibri"/>
          <w:lang w:val="en-US" w:eastAsia="en-US"/>
        </w:rPr>
        <w:t>3</w:t>
      </w:r>
      <w:r w:rsidR="00D01039">
        <w:rPr>
          <w:rFonts w:eastAsia="Calibri"/>
          <w:lang w:val="en-US" w:eastAsia="en-US"/>
        </w:rPr>
        <w:t xml:space="preserve"> [3] and </w:t>
      </w:r>
      <w:r w:rsidR="00D01039" w:rsidRPr="00345259">
        <w:rPr>
          <w:rFonts w:eastAsia="Calibri"/>
          <w:lang w:val="en-US"/>
        </w:rPr>
        <w:t>ISO 9277</w:t>
      </w:r>
      <w:r w:rsidR="00D01039">
        <w:rPr>
          <w:rFonts w:eastAsia="Calibri"/>
          <w:lang w:val="en-US"/>
        </w:rPr>
        <w:t xml:space="preserve"> [4]</w:t>
      </w:r>
      <w:r w:rsidR="00D01039">
        <w:rPr>
          <w:szCs w:val="20"/>
          <w:lang w:val="en-GB"/>
        </w:rPr>
        <w:t>.</w:t>
      </w:r>
    </w:p>
    <w:p w14:paraId="70F6BC58" w14:textId="77777777" w:rsidR="007D110F" w:rsidRDefault="007D110F" w:rsidP="003F6599">
      <w:pPr>
        <w:ind w:firstLine="720"/>
        <w:jc w:val="both"/>
        <w:rPr>
          <w:lang w:val="en-GB"/>
        </w:rPr>
      </w:pPr>
    </w:p>
    <w:p w14:paraId="44A46910" w14:textId="77777777" w:rsidR="006E3327" w:rsidRDefault="00345259" w:rsidP="00C56FE3">
      <w:pPr>
        <w:ind w:firstLine="708"/>
        <w:jc w:val="both"/>
        <w:rPr>
          <w:b/>
          <w:lang w:val="en-US"/>
        </w:rPr>
      </w:pPr>
      <w:r w:rsidRPr="00E82449">
        <w:rPr>
          <w:b/>
          <w:lang w:val="en-US"/>
        </w:rPr>
        <w:lastRenderedPageBreak/>
        <w:t>Some details about measurement procedure</w:t>
      </w:r>
      <w:r w:rsidR="009919E6" w:rsidRPr="00E82449">
        <w:rPr>
          <w:b/>
          <w:lang w:val="en-US"/>
        </w:rPr>
        <w:t xml:space="preserve"> </w:t>
      </w:r>
      <w:r w:rsidR="002404E4" w:rsidRPr="00E82449">
        <w:rPr>
          <w:b/>
          <w:lang w:val="en-US"/>
        </w:rPr>
        <w:t xml:space="preserve">of gas adsorption method </w:t>
      </w:r>
      <w:r w:rsidR="009919E6" w:rsidRPr="00E82449">
        <w:rPr>
          <w:b/>
          <w:lang w:val="en-US"/>
        </w:rPr>
        <w:t xml:space="preserve">are shown bellow </w:t>
      </w:r>
    </w:p>
    <w:p w14:paraId="79360070" w14:textId="77777777" w:rsidR="00211F6A" w:rsidRDefault="00211F6A" w:rsidP="00211F6A">
      <w:pPr>
        <w:ind w:firstLine="709"/>
        <w:jc w:val="both"/>
        <w:rPr>
          <w:lang w:val="en-US"/>
        </w:rPr>
      </w:pPr>
      <w:bookmarkStart w:id="27" w:name="OLE_LINK135"/>
      <w:r w:rsidRPr="006A3B9A">
        <w:rPr>
          <w:lang w:val="en-US"/>
        </w:rPr>
        <w:t xml:space="preserve">Please perform at least 5 replicate measurements on separate aliquots </w:t>
      </w:r>
      <w:bookmarkStart w:id="28" w:name="OLE_LINK167"/>
      <w:bookmarkStart w:id="29" w:name="OLE_LINK168"/>
      <w:bookmarkStart w:id="30" w:name="OLE_LINK169"/>
      <w:r>
        <w:rPr>
          <w:lang w:val="en-US"/>
        </w:rPr>
        <w:t xml:space="preserve">of </w:t>
      </w:r>
      <w:r w:rsidRPr="006A3B9A">
        <w:rPr>
          <w:lang w:val="en-US"/>
        </w:rPr>
        <w:t>zeolite</w:t>
      </w:r>
      <w:bookmarkEnd w:id="28"/>
      <w:bookmarkEnd w:id="29"/>
      <w:bookmarkEnd w:id="30"/>
      <w:r w:rsidRPr="006A3B9A">
        <w:rPr>
          <w:lang w:val="en-US"/>
        </w:rPr>
        <w:t>. The recommend mi</w:t>
      </w:r>
      <w:r>
        <w:rPr>
          <w:lang w:val="en-US"/>
        </w:rPr>
        <w:t>nimum sample amount is about 0.</w:t>
      </w:r>
      <w:r w:rsidRPr="000B6CEA">
        <w:rPr>
          <w:lang w:val="en-US"/>
        </w:rPr>
        <w:t>3</w:t>
      </w:r>
      <w:r w:rsidRPr="006A3B9A">
        <w:rPr>
          <w:lang w:val="en-US"/>
        </w:rPr>
        <w:t xml:space="preserve"> gram for each run.  </w:t>
      </w:r>
    </w:p>
    <w:p w14:paraId="53570D4D" w14:textId="77777777" w:rsidR="00345259" w:rsidRPr="009B1751" w:rsidRDefault="00345259" w:rsidP="00345259">
      <w:pPr>
        <w:jc w:val="both"/>
        <w:rPr>
          <w:b/>
          <w:color w:val="000000"/>
          <w:lang w:val="en-US"/>
        </w:rPr>
      </w:pPr>
      <w:r>
        <w:rPr>
          <w:lang w:val="en-GB"/>
        </w:rPr>
        <w:tab/>
      </w:r>
      <w:r w:rsidRPr="009B1751">
        <w:rPr>
          <w:b/>
          <w:color w:val="000000"/>
          <w:lang w:val="en-US"/>
        </w:rPr>
        <w:t xml:space="preserve">Sample pretreatment </w:t>
      </w:r>
    </w:p>
    <w:bookmarkEnd w:id="27"/>
    <w:p w14:paraId="257D58BD" w14:textId="77777777" w:rsidR="00211F6A" w:rsidRDefault="00211F6A" w:rsidP="00211F6A">
      <w:pPr>
        <w:jc w:val="both"/>
        <w:rPr>
          <w:lang w:val="en-US"/>
        </w:rPr>
      </w:pPr>
      <w:r>
        <w:rPr>
          <w:lang w:val="en-US"/>
        </w:rPr>
        <w:t>Heat the sample</w:t>
      </w:r>
      <w:r w:rsidRPr="006A3B9A">
        <w:rPr>
          <w:lang w:val="en-US"/>
        </w:rPr>
        <w:t xml:space="preserve"> zeolite to 90 </w:t>
      </w:r>
      <w:r>
        <w:rPr>
          <w:lang w:val="en-US"/>
        </w:rPr>
        <w:t>°</w:t>
      </w:r>
      <w:r>
        <w:t>С</w:t>
      </w:r>
      <w:r w:rsidRPr="00CA1215">
        <w:rPr>
          <w:lang w:val="en-US"/>
        </w:rPr>
        <w:t xml:space="preserve"> then the sample is </w:t>
      </w:r>
      <w:r w:rsidRPr="00FE2E34">
        <w:rPr>
          <w:lang w:val="en-US"/>
        </w:rPr>
        <w:t>vacuum</w:t>
      </w:r>
      <w:r>
        <w:rPr>
          <w:lang w:val="en-US"/>
        </w:rPr>
        <w:t>ed at a rate of 0.67 kPa/</w:t>
      </w:r>
      <w:r w:rsidRPr="00805652">
        <w:rPr>
          <w:lang w:val="en-US"/>
        </w:rPr>
        <w:t>sec</w:t>
      </w:r>
      <w:r>
        <w:rPr>
          <w:lang w:val="en-US"/>
        </w:rPr>
        <w:t xml:space="preserve"> to a residual pressure of 10 Pa</w:t>
      </w:r>
      <w:r w:rsidRPr="00CA1215">
        <w:rPr>
          <w:lang w:val="en-US"/>
        </w:rPr>
        <w:t xml:space="preserve"> and vacuumed for 30 minutes.</w:t>
      </w:r>
      <w:r>
        <w:rPr>
          <w:lang w:val="en-US"/>
        </w:rPr>
        <w:t xml:space="preserve"> Then </w:t>
      </w:r>
      <w:proofErr w:type="spellStart"/>
      <w:r>
        <w:rPr>
          <w:lang w:val="en-US"/>
        </w:rPr>
        <w:t>slom</w:t>
      </w:r>
      <w:proofErr w:type="spellEnd"/>
      <w:r>
        <w:rPr>
          <w:lang w:val="en-US"/>
        </w:rPr>
        <w:t xml:space="preserve"> heating at a rate of not more than 10 °</w:t>
      </w:r>
      <w:r>
        <w:t>С</w:t>
      </w:r>
      <w:r>
        <w:rPr>
          <w:lang w:val="en-US"/>
        </w:rPr>
        <w:t>/min to 350</w:t>
      </w:r>
      <w:r w:rsidRPr="00FE2E34">
        <w:rPr>
          <w:lang w:val="en-US"/>
        </w:rPr>
        <w:t xml:space="preserve"> </w:t>
      </w:r>
      <w:r>
        <w:rPr>
          <w:lang w:val="en-US"/>
        </w:rPr>
        <w:t>°</w:t>
      </w:r>
      <w:r>
        <w:t>С</w:t>
      </w:r>
      <w:r>
        <w:rPr>
          <w:lang w:val="en-US"/>
        </w:rPr>
        <w:t>.</w:t>
      </w:r>
      <w:r w:rsidRPr="00CA1215">
        <w:rPr>
          <w:lang w:val="en-US"/>
        </w:rPr>
        <w:t xml:space="preserve"> </w:t>
      </w:r>
      <w:r>
        <w:rPr>
          <w:lang w:val="en-US"/>
        </w:rPr>
        <w:t>T</w:t>
      </w:r>
      <w:r w:rsidRPr="006A3B9A">
        <w:rPr>
          <w:lang w:val="en-US"/>
        </w:rPr>
        <w:t xml:space="preserve">he hold temperature at 350 </w:t>
      </w:r>
      <w:r>
        <w:rPr>
          <w:lang w:val="en-US"/>
        </w:rPr>
        <w:t>°</w:t>
      </w:r>
      <w:r>
        <w:t>С</w:t>
      </w:r>
      <w:r w:rsidRPr="006A3B9A">
        <w:rPr>
          <w:lang w:val="en-US"/>
        </w:rPr>
        <w:t xml:space="preserve"> for at least 6 </w:t>
      </w:r>
      <w:proofErr w:type="gramStart"/>
      <w:r w:rsidRPr="006A3B9A">
        <w:rPr>
          <w:lang w:val="en-US"/>
        </w:rPr>
        <w:t>hour</w:t>
      </w:r>
      <w:proofErr w:type="gramEnd"/>
      <w:r w:rsidRPr="006A3B9A">
        <w:rPr>
          <w:lang w:val="en-US"/>
        </w:rPr>
        <w:t>.</w:t>
      </w:r>
    </w:p>
    <w:p w14:paraId="7891920F" w14:textId="655A448E" w:rsidR="00211F6A" w:rsidRPr="00AC779C" w:rsidRDefault="00211F6A" w:rsidP="000D5954">
      <w:pPr>
        <w:ind w:firstLine="709"/>
        <w:jc w:val="both"/>
        <w:rPr>
          <w:b/>
          <w:lang w:val="en-US"/>
        </w:rPr>
      </w:pPr>
      <w:r w:rsidRPr="00805652">
        <w:rPr>
          <w:b/>
          <w:lang w:val="en-US"/>
        </w:rPr>
        <w:t>Measurement of the complete Is</w:t>
      </w:r>
      <w:r>
        <w:rPr>
          <w:b/>
          <w:lang w:val="en-US"/>
        </w:rPr>
        <w:t>otherm (adsorption branch) at 87</w:t>
      </w:r>
      <w:r w:rsidRPr="00805652">
        <w:rPr>
          <w:b/>
          <w:lang w:val="en-US"/>
        </w:rPr>
        <w:t xml:space="preserve"> K and specific adsorption of</w:t>
      </w:r>
      <w:r w:rsidRPr="000B6CEA">
        <w:rPr>
          <w:b/>
          <w:lang w:val="en-US"/>
        </w:rPr>
        <w:t xml:space="preserve"> </w:t>
      </w:r>
      <w:r>
        <w:rPr>
          <w:b/>
          <w:lang w:val="en-US"/>
        </w:rPr>
        <w:t>argo</w:t>
      </w:r>
      <w:r w:rsidRPr="00805652">
        <w:rPr>
          <w:b/>
          <w:lang w:val="en-US"/>
        </w:rPr>
        <w:t xml:space="preserve">n at </w:t>
      </w:r>
      <w:r w:rsidRPr="00AC779C">
        <w:rPr>
          <w:b/>
          <w:lang w:val="en-US"/>
        </w:rPr>
        <w:t>P/Po=</w:t>
      </w:r>
      <w:r w:rsidR="000D5954" w:rsidRPr="000D5954">
        <w:rPr>
          <w:b/>
          <w:lang w:val="en-US"/>
        </w:rPr>
        <w:t>1</w:t>
      </w:r>
      <w:r w:rsidRPr="00AC779C">
        <w:rPr>
          <w:b/>
          <w:lang w:val="en-US"/>
        </w:rPr>
        <w:t>,0</w:t>
      </w:r>
      <w:r w:rsidRPr="00AC779C">
        <w:rPr>
          <w:rFonts w:ascii="Calibri" w:hAnsi="Calibri" w:cs="Calibri"/>
          <w:b/>
          <w:lang w:val="en-US"/>
        </w:rPr>
        <w:t>·</w:t>
      </w:r>
      <w:r w:rsidRPr="00AC779C">
        <w:rPr>
          <w:b/>
          <w:lang w:val="en-US"/>
        </w:rPr>
        <w:t>10</w:t>
      </w:r>
      <w:r w:rsidRPr="00AC779C">
        <w:rPr>
          <w:b/>
          <w:vertAlign w:val="superscript"/>
          <w:lang w:val="en-US"/>
        </w:rPr>
        <w:t>-5</w:t>
      </w:r>
      <w:r w:rsidRPr="00AC779C">
        <w:rPr>
          <w:b/>
          <w:lang w:val="en-US"/>
        </w:rPr>
        <w:t>; P/Po=1,0</w:t>
      </w:r>
      <w:r w:rsidRPr="00AC779C">
        <w:rPr>
          <w:rFonts w:ascii="Calibri" w:hAnsi="Calibri" w:cs="Calibri"/>
          <w:b/>
          <w:lang w:val="en-US"/>
        </w:rPr>
        <w:t>·</w:t>
      </w:r>
      <w:r w:rsidRPr="00AC779C">
        <w:rPr>
          <w:b/>
          <w:lang w:val="en-US"/>
        </w:rPr>
        <w:t>10</w:t>
      </w:r>
      <w:r w:rsidRPr="00AC779C">
        <w:rPr>
          <w:b/>
          <w:vertAlign w:val="superscript"/>
          <w:lang w:val="en-US"/>
        </w:rPr>
        <w:t>-4</w:t>
      </w:r>
      <w:r w:rsidRPr="00AC779C">
        <w:rPr>
          <w:b/>
          <w:lang w:val="en-US"/>
        </w:rPr>
        <w:t>; P/Po=1,0</w:t>
      </w:r>
      <w:r w:rsidRPr="00AC779C">
        <w:rPr>
          <w:rFonts w:ascii="Calibri" w:hAnsi="Calibri" w:cs="Calibri"/>
          <w:b/>
          <w:lang w:val="en-US"/>
        </w:rPr>
        <w:t>·</w:t>
      </w:r>
      <w:r w:rsidRPr="00AC779C">
        <w:rPr>
          <w:b/>
          <w:lang w:val="en-US"/>
        </w:rPr>
        <w:t>10</w:t>
      </w:r>
      <w:r w:rsidRPr="00AC779C">
        <w:rPr>
          <w:b/>
          <w:vertAlign w:val="superscript"/>
          <w:lang w:val="en-US"/>
        </w:rPr>
        <w:t>-3</w:t>
      </w:r>
      <w:r w:rsidRPr="00AC779C">
        <w:rPr>
          <w:b/>
          <w:lang w:val="en-US"/>
        </w:rPr>
        <w:t>; P/Po=1,0</w:t>
      </w:r>
      <w:r w:rsidRPr="00AC779C">
        <w:rPr>
          <w:rFonts w:ascii="Calibri" w:hAnsi="Calibri" w:cs="Calibri"/>
          <w:b/>
          <w:lang w:val="en-US"/>
        </w:rPr>
        <w:t>·</w:t>
      </w:r>
      <w:r w:rsidRPr="00AC779C">
        <w:rPr>
          <w:b/>
          <w:lang w:val="en-US"/>
        </w:rPr>
        <w:t>10</w:t>
      </w:r>
      <w:r w:rsidRPr="00AC779C">
        <w:rPr>
          <w:b/>
          <w:vertAlign w:val="superscript"/>
          <w:lang w:val="en-US"/>
        </w:rPr>
        <w:t>-2</w:t>
      </w:r>
      <w:r w:rsidRPr="00AC779C">
        <w:rPr>
          <w:b/>
          <w:lang w:val="en-US"/>
        </w:rPr>
        <w:t>; P/Po=1,0</w:t>
      </w:r>
      <w:r w:rsidRPr="00AC779C">
        <w:rPr>
          <w:rFonts w:ascii="Calibri" w:hAnsi="Calibri" w:cs="Calibri"/>
          <w:b/>
          <w:lang w:val="en-US"/>
        </w:rPr>
        <w:t>·</w:t>
      </w:r>
      <w:r w:rsidRPr="00AC779C">
        <w:rPr>
          <w:b/>
          <w:lang w:val="en-US"/>
        </w:rPr>
        <w:t>10</w:t>
      </w:r>
      <w:r w:rsidRPr="00AC779C">
        <w:rPr>
          <w:b/>
          <w:vertAlign w:val="superscript"/>
          <w:lang w:val="en-US"/>
        </w:rPr>
        <w:t>-1</w:t>
      </w:r>
      <w:r w:rsidRPr="00AC779C">
        <w:rPr>
          <w:b/>
          <w:lang w:val="en-US"/>
        </w:rPr>
        <w:t>.</w:t>
      </w:r>
    </w:p>
    <w:p w14:paraId="039D3A26" w14:textId="13459320" w:rsidR="00211F6A" w:rsidRDefault="00211F6A" w:rsidP="00211F6A">
      <w:pPr>
        <w:ind w:firstLine="709"/>
        <w:jc w:val="both"/>
        <w:rPr>
          <w:lang w:val="en-US"/>
        </w:rPr>
      </w:pPr>
      <w:r w:rsidRPr="00805652">
        <w:rPr>
          <w:lang w:val="en-US"/>
        </w:rPr>
        <w:t xml:space="preserve">First isotherm data point should be taken at </w:t>
      </w:r>
      <w:bookmarkStart w:id="31" w:name="OLE_LINK153"/>
      <w:bookmarkStart w:id="32" w:name="OLE_LINK154"/>
      <w:r w:rsidRPr="00805652">
        <w:rPr>
          <w:lang w:val="en-US"/>
        </w:rPr>
        <w:t>P/Po=</w:t>
      </w:r>
      <w:bookmarkEnd w:id="31"/>
      <w:bookmarkEnd w:id="32"/>
      <w:r w:rsidR="000D5954" w:rsidRPr="000D5954">
        <w:rPr>
          <w:lang w:val="en-US"/>
        </w:rPr>
        <w:t>1</w:t>
      </w:r>
      <w:r>
        <w:rPr>
          <w:lang w:val="en-US"/>
        </w:rPr>
        <w:t>,0</w:t>
      </w:r>
      <w:r>
        <w:rPr>
          <w:rFonts w:ascii="Calibri" w:hAnsi="Calibri" w:cs="Calibri"/>
          <w:lang w:val="en-US"/>
        </w:rPr>
        <w:t>·</w:t>
      </w:r>
      <w:r>
        <w:rPr>
          <w:lang w:val="en-US"/>
        </w:rPr>
        <w:t>10</w:t>
      </w:r>
      <w:r w:rsidRPr="00805652">
        <w:rPr>
          <w:vertAlign w:val="superscript"/>
          <w:lang w:val="en-US"/>
        </w:rPr>
        <w:t>-</w:t>
      </w:r>
      <w:r w:rsidR="000D5954">
        <w:rPr>
          <w:vertAlign w:val="superscript"/>
          <w:lang w:val="en-US"/>
        </w:rPr>
        <w:t>5</w:t>
      </w:r>
      <w:r w:rsidRPr="00805652">
        <w:rPr>
          <w:lang w:val="en-US"/>
        </w:rPr>
        <w:t>,</w:t>
      </w:r>
      <w:r w:rsidR="000D5954" w:rsidRPr="000D5954">
        <w:rPr>
          <w:lang w:val="en-US"/>
        </w:rPr>
        <w:t xml:space="preserve"> </w:t>
      </w:r>
      <w:r w:rsidRPr="00805652">
        <w:rPr>
          <w:lang w:val="en-US"/>
        </w:rPr>
        <w:t>last adsorption isotherm data</w:t>
      </w:r>
      <w:r>
        <w:rPr>
          <w:lang w:val="en-US"/>
        </w:rPr>
        <w:t xml:space="preserve"> point should be taken at P/Po=1,0</w:t>
      </w:r>
      <w:r>
        <w:rPr>
          <w:rFonts w:ascii="Calibri" w:hAnsi="Calibri" w:cs="Calibri"/>
          <w:lang w:val="en-US"/>
        </w:rPr>
        <w:t>·</w:t>
      </w:r>
      <w:r>
        <w:rPr>
          <w:lang w:val="en-US"/>
        </w:rPr>
        <w:t>10</w:t>
      </w:r>
      <w:r w:rsidRPr="00805652">
        <w:rPr>
          <w:vertAlign w:val="superscript"/>
          <w:lang w:val="en-US"/>
        </w:rPr>
        <w:t>-1</w:t>
      </w:r>
      <w:r>
        <w:rPr>
          <w:lang w:val="en-US"/>
        </w:rPr>
        <w:t>. I</w:t>
      </w:r>
      <w:r w:rsidRPr="00E819A4">
        <w:rPr>
          <w:lang w:val="en-US"/>
        </w:rPr>
        <w:t>ntermediate points are selected uniformly at the rate of (8-10) points for each order</w:t>
      </w:r>
      <w:r>
        <w:rPr>
          <w:lang w:val="en-US"/>
        </w:rPr>
        <w:t xml:space="preserve">. </w:t>
      </w:r>
      <w:r w:rsidRPr="00255057">
        <w:rPr>
          <w:lang w:val="en-US"/>
        </w:rPr>
        <w:t>The free volumes of the tube with the sample "warm" and "cold" should be measured after the measurements of specific adsorption of argon and then entered into the files in which the measurements are made for adjustment.</w:t>
      </w:r>
    </w:p>
    <w:p w14:paraId="41CC6F30" w14:textId="77777777" w:rsidR="00211F6A" w:rsidRDefault="00211F6A" w:rsidP="00211F6A">
      <w:pPr>
        <w:ind w:firstLine="709"/>
        <w:jc w:val="both"/>
        <w:rPr>
          <w:b/>
          <w:lang w:val="en-US"/>
        </w:rPr>
      </w:pPr>
      <w:r>
        <w:rPr>
          <w:b/>
          <w:lang w:val="en-US"/>
        </w:rPr>
        <w:t>S</w:t>
      </w:r>
      <w:r w:rsidRPr="00255057">
        <w:rPr>
          <w:b/>
          <w:lang w:val="en-US"/>
        </w:rPr>
        <w:t xml:space="preserve">pecific surface area </w:t>
      </w:r>
      <w:r>
        <w:rPr>
          <w:b/>
          <w:lang w:val="en-US"/>
        </w:rPr>
        <w:t>S, m</w:t>
      </w:r>
      <w:r>
        <w:rPr>
          <w:b/>
          <w:vertAlign w:val="superscript"/>
          <w:lang w:val="en-US"/>
        </w:rPr>
        <w:t>2</w:t>
      </w:r>
      <w:r>
        <w:rPr>
          <w:b/>
          <w:lang w:val="en-US"/>
        </w:rPr>
        <w:t xml:space="preserve">/g </w:t>
      </w:r>
    </w:p>
    <w:p w14:paraId="007B7EBF" w14:textId="7986EE72" w:rsidR="00447DDF" w:rsidRPr="00447DDF" w:rsidRDefault="00447DDF" w:rsidP="00447DDF">
      <w:pPr>
        <w:ind w:firstLine="708"/>
        <w:jc w:val="both"/>
        <w:rPr>
          <w:color w:val="000000"/>
          <w:lang w:val="en-US"/>
        </w:rPr>
      </w:pPr>
      <w:r>
        <w:rPr>
          <w:lang w:val="en-US"/>
        </w:rPr>
        <w:t xml:space="preserve">For determination </w:t>
      </w:r>
      <w:r w:rsidR="003C73EF" w:rsidRPr="000D5954">
        <w:rPr>
          <w:noProof/>
          <w:position w:val="-12"/>
        </w:rPr>
        <w:object w:dxaOrig="360" w:dyaOrig="380" w14:anchorId="23BC13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pt;height:18.75pt;mso-width-percent:0;mso-height-percent:0;mso-width-percent:0;mso-height-percent:0" o:ole="">
            <v:imagedata r:id="rId27" o:title=""/>
          </v:shape>
          <o:OLEObject Type="Embed" ProgID="Equation.DSMT4" ShapeID="_x0000_i1025" DrawAspect="Content" ObjectID="_1654582167" r:id="rId28"/>
        </w:object>
      </w:r>
      <w:r>
        <w:rPr>
          <w:lang w:val="en-US"/>
        </w:rPr>
        <w:t xml:space="preserve"> m</w:t>
      </w:r>
      <w:r w:rsidRPr="007B0253">
        <w:rPr>
          <w:lang w:val="en-US"/>
        </w:rPr>
        <w:t xml:space="preserve">ust be measured at least five points in the </w:t>
      </w:r>
      <w:r w:rsidRPr="00805652">
        <w:rPr>
          <w:lang w:val="en-US"/>
        </w:rPr>
        <w:t>P/Po</w:t>
      </w:r>
      <w:r w:rsidRPr="007B0253">
        <w:rPr>
          <w:lang w:val="en-US"/>
        </w:rPr>
        <w:t xml:space="preserve"> Range from 0.001 to 0.015</w:t>
      </w:r>
      <w:r>
        <w:rPr>
          <w:lang w:val="en-US"/>
        </w:rPr>
        <w:t xml:space="preserve">. Specific surface area must be calculated according to </w:t>
      </w:r>
      <w:r w:rsidRPr="007B0253">
        <w:rPr>
          <w:lang w:val="en-US"/>
        </w:rPr>
        <w:t>equation</w:t>
      </w:r>
    </w:p>
    <w:p w14:paraId="44D019B2" w14:textId="3FE2F270" w:rsidR="000D5954" w:rsidRDefault="003C73EF" w:rsidP="000D5954">
      <w:pPr>
        <w:ind w:left="2124" w:firstLine="708"/>
        <w:jc w:val="both"/>
        <w:rPr>
          <w:lang w:val="en-US"/>
        </w:rPr>
      </w:pPr>
      <w:r w:rsidRPr="000D5954">
        <w:rPr>
          <w:noProof/>
          <w:color w:val="000000"/>
          <w:position w:val="-12"/>
        </w:rPr>
        <w:object w:dxaOrig="1420" w:dyaOrig="380" w14:anchorId="5FDD3892">
          <v:shape id="_x0000_i1026" type="#_x0000_t75" alt="" style="width:62.25pt;height:16.5pt;mso-width-percent:0;mso-height-percent:0;mso-width-percent:0;mso-height-percent:0" o:ole="">
            <v:imagedata r:id="rId29" o:title=""/>
          </v:shape>
          <o:OLEObject Type="Embed" ProgID="Equation.DSMT4" ShapeID="_x0000_i1026" DrawAspect="Content" ObjectID="_1654582168" r:id="rId30"/>
        </w:object>
      </w:r>
      <w:r w:rsidR="000D5954" w:rsidRPr="00E77DDC">
        <w:rPr>
          <w:color w:val="000000"/>
          <w:lang w:val="en-US"/>
        </w:rPr>
        <w:tab/>
      </w:r>
      <w:r w:rsidR="000D5954" w:rsidRPr="00E77DDC">
        <w:rPr>
          <w:color w:val="000000"/>
          <w:lang w:val="en-US"/>
        </w:rPr>
        <w:tab/>
      </w:r>
      <w:r w:rsidR="000D5954" w:rsidRPr="00E77DDC">
        <w:rPr>
          <w:color w:val="000000"/>
          <w:lang w:val="en-US"/>
        </w:rPr>
        <w:tab/>
      </w:r>
      <w:r w:rsidR="000D5954" w:rsidRPr="00E77DDC">
        <w:rPr>
          <w:color w:val="000000"/>
          <w:lang w:val="en-US"/>
        </w:rPr>
        <w:tab/>
      </w:r>
      <w:r w:rsidR="000D5954" w:rsidRPr="00E77DDC">
        <w:rPr>
          <w:color w:val="000000"/>
          <w:lang w:val="en-US"/>
        </w:rPr>
        <w:tab/>
      </w:r>
      <w:r w:rsidR="000D5954" w:rsidRPr="00E77DDC">
        <w:rPr>
          <w:color w:val="000000"/>
          <w:lang w:val="en-US"/>
        </w:rPr>
        <w:tab/>
      </w:r>
      <w:r w:rsidR="000D5954" w:rsidRPr="00E77DDC">
        <w:rPr>
          <w:color w:val="000000"/>
          <w:lang w:val="en-US"/>
        </w:rPr>
        <w:tab/>
      </w:r>
      <w:r w:rsidR="000D5954">
        <w:rPr>
          <w:color w:val="000000"/>
          <w:lang w:val="en-US"/>
        </w:rPr>
        <w:t>(1)</w:t>
      </w:r>
      <w:r w:rsidR="000D5954" w:rsidRPr="007B0253">
        <w:rPr>
          <w:lang w:val="en-US"/>
        </w:rPr>
        <w:t xml:space="preserve"> </w:t>
      </w:r>
    </w:p>
    <w:p w14:paraId="3727F134" w14:textId="56101458" w:rsidR="000D5954" w:rsidRDefault="000D5954" w:rsidP="00211F6A">
      <w:pPr>
        <w:ind w:firstLine="709"/>
        <w:jc w:val="both"/>
        <w:rPr>
          <w:lang w:val="en-US"/>
        </w:rPr>
      </w:pPr>
      <w:r>
        <w:rPr>
          <w:lang w:val="en-US"/>
        </w:rPr>
        <w:t xml:space="preserve">where </w:t>
      </w:r>
      <w:bookmarkStart w:id="33" w:name="MTBlankEqn"/>
      <w:r w:rsidR="003C73EF" w:rsidRPr="000D5954">
        <w:rPr>
          <w:noProof/>
          <w:position w:val="-12"/>
        </w:rPr>
        <w:object w:dxaOrig="380" w:dyaOrig="380" w14:anchorId="301A0A54">
          <v:shape id="_x0000_i1027" type="#_x0000_t75" alt="" style="width:18.75pt;height:18.75pt;mso-width-percent:0;mso-height-percent:0;mso-width-percent:0;mso-height-percent:0" o:ole="">
            <v:imagedata r:id="rId31" o:title=""/>
          </v:shape>
          <o:OLEObject Type="Embed" ProgID="Equation.DSMT4" ShapeID="_x0000_i1027" DrawAspect="Content" ObjectID="_1654582169" r:id="rId32"/>
        </w:object>
      </w:r>
      <w:bookmarkEnd w:id="33"/>
      <w:r>
        <w:rPr>
          <w:lang w:val="en-US"/>
        </w:rPr>
        <w:t xml:space="preserve"> is Avogadro constant, </w:t>
      </w:r>
      <w:r w:rsidR="00447DDF">
        <w:rPr>
          <w:lang w:val="en-US"/>
        </w:rPr>
        <w:t>mol</w:t>
      </w:r>
      <w:r w:rsidRPr="000D5954">
        <w:rPr>
          <w:vertAlign w:val="superscript"/>
          <w:lang w:val="en-US"/>
        </w:rPr>
        <w:t>-1</w:t>
      </w:r>
      <w:r>
        <w:rPr>
          <w:lang w:val="en-US"/>
        </w:rPr>
        <w:t xml:space="preserve">; </w:t>
      </w:r>
      <w:r w:rsidR="003C73EF" w:rsidRPr="000D5954">
        <w:rPr>
          <w:noProof/>
          <w:position w:val="-12"/>
        </w:rPr>
        <w:object w:dxaOrig="340" w:dyaOrig="380" w14:anchorId="4C620C73">
          <v:shape id="_x0000_i1028" type="#_x0000_t75" alt="" style="width:17.25pt;height:18.75pt;mso-width-percent:0;mso-height-percent:0;mso-width-percent:0;mso-height-percent:0" o:ole="">
            <v:imagedata r:id="rId33" o:title=""/>
          </v:shape>
          <o:OLEObject Type="Embed" ProgID="Equation.DSMT4" ShapeID="_x0000_i1028" DrawAspect="Content" ObjectID="_1654582170" r:id="rId34"/>
        </w:object>
      </w:r>
      <w:r>
        <w:rPr>
          <w:lang w:val="en-US"/>
        </w:rPr>
        <w:t xml:space="preserve"> </w:t>
      </w:r>
      <w:r w:rsidR="006146CB">
        <w:rPr>
          <w:lang w:val="en-US"/>
        </w:rPr>
        <w:t>is</w:t>
      </w:r>
      <w:r>
        <w:rPr>
          <w:lang w:val="en-US"/>
        </w:rPr>
        <w:t xml:space="preserve"> a</w:t>
      </w:r>
      <w:r w:rsidRPr="007B0253">
        <w:rPr>
          <w:lang w:val="en-US"/>
        </w:rPr>
        <w:t>rea occupied</w:t>
      </w:r>
      <w:r>
        <w:rPr>
          <w:lang w:val="en-US"/>
        </w:rPr>
        <w:t xml:space="preserve"> by one argon molecule 0.142</w:t>
      </w:r>
      <w:r w:rsidRPr="000D5954">
        <w:rPr>
          <w:lang w:val="en-US"/>
        </w:rPr>
        <w:t>·10</w:t>
      </w:r>
      <w:r w:rsidRPr="000D5954">
        <w:rPr>
          <w:vertAlign w:val="superscript"/>
          <w:lang w:val="en-US"/>
        </w:rPr>
        <w:t>-18</w:t>
      </w:r>
      <w:r>
        <w:rPr>
          <w:lang w:val="en-US"/>
        </w:rPr>
        <w:t xml:space="preserve"> m</w:t>
      </w:r>
      <w:r>
        <w:rPr>
          <w:vertAlign w:val="superscript"/>
          <w:lang w:val="en-US"/>
        </w:rPr>
        <w:t>2</w:t>
      </w:r>
      <w:r>
        <w:rPr>
          <w:lang w:val="en-US"/>
        </w:rPr>
        <w:t xml:space="preserve">; </w:t>
      </w:r>
      <w:r w:rsidR="003C73EF" w:rsidRPr="000D5954">
        <w:rPr>
          <w:noProof/>
          <w:position w:val="-12"/>
        </w:rPr>
        <w:object w:dxaOrig="360" w:dyaOrig="380" w14:anchorId="7AA8DB8F">
          <v:shape id="_x0000_i1029" type="#_x0000_t75" alt="" style="width:18pt;height:18.75pt;mso-width-percent:0;mso-height-percent:0;mso-width-percent:0;mso-height-percent:0" o:ole="">
            <v:imagedata r:id="rId27" o:title=""/>
          </v:shape>
          <o:OLEObject Type="Embed" ProgID="Equation.DSMT4" ShapeID="_x0000_i1029" DrawAspect="Content" ObjectID="_1654582171" r:id="rId35"/>
        </w:object>
      </w:r>
      <w:r>
        <w:rPr>
          <w:lang w:val="en-US"/>
        </w:rPr>
        <w:t xml:space="preserve"> is specific monolayer capacity of adsorbate</w:t>
      </w:r>
      <w:r w:rsidR="00447DDF">
        <w:rPr>
          <w:lang w:val="en-US"/>
        </w:rPr>
        <w:t>, mol</w:t>
      </w:r>
      <w:r w:rsidR="00447DDF">
        <w:rPr>
          <w:rFonts w:ascii="Calibri" w:hAnsi="Calibri" w:cs="Calibri"/>
          <w:lang w:val="en-US"/>
        </w:rPr>
        <w:t>·</w:t>
      </w:r>
      <w:r w:rsidR="00447DDF">
        <w:rPr>
          <w:lang w:val="en-US"/>
        </w:rPr>
        <w:t>g</w:t>
      </w:r>
      <w:r w:rsidR="00447DDF" w:rsidRPr="00447DDF">
        <w:rPr>
          <w:vertAlign w:val="superscript"/>
          <w:lang w:val="en-US"/>
        </w:rPr>
        <w:t>-1</w:t>
      </w:r>
      <w:r w:rsidR="00447DDF">
        <w:rPr>
          <w:lang w:val="en-US"/>
        </w:rPr>
        <w:t>.</w:t>
      </w:r>
      <w:r>
        <w:rPr>
          <w:lang w:val="en-US"/>
        </w:rPr>
        <w:t xml:space="preserve">  </w:t>
      </w:r>
    </w:p>
    <w:p w14:paraId="0DCE5B09" w14:textId="49B7ADAC" w:rsidR="00447DDF" w:rsidRDefault="00447DDF" w:rsidP="00447DDF">
      <w:pPr>
        <w:ind w:firstLine="709"/>
        <w:jc w:val="both"/>
        <w:rPr>
          <w:lang w:val="en-US"/>
        </w:rPr>
      </w:pPr>
      <w:r>
        <w:rPr>
          <w:lang w:val="en-US"/>
        </w:rPr>
        <w:t>Specific monolayer capacity of adsorbate</w:t>
      </w:r>
      <w:r w:rsidRPr="007B0253">
        <w:rPr>
          <w:lang w:val="en-US"/>
        </w:rPr>
        <w:t xml:space="preserve"> </w:t>
      </w:r>
      <w:r>
        <w:rPr>
          <w:lang w:val="en-US"/>
        </w:rPr>
        <w:t>must be calculated according to</w:t>
      </w:r>
      <w:r w:rsidRPr="007B0253">
        <w:rPr>
          <w:lang w:val="en-US"/>
        </w:rPr>
        <w:t xml:space="preserve"> Langmuir equation</w:t>
      </w:r>
      <w:r>
        <w:rPr>
          <w:lang w:val="en-US"/>
        </w:rPr>
        <w:t>:</w:t>
      </w:r>
    </w:p>
    <w:p w14:paraId="19194956" w14:textId="77777777" w:rsidR="000D5954" w:rsidRDefault="000D5954" w:rsidP="00211F6A">
      <w:pPr>
        <w:ind w:firstLine="709"/>
        <w:jc w:val="both"/>
        <w:rPr>
          <w:lang w:val="en-US"/>
        </w:rPr>
      </w:pPr>
    </w:p>
    <w:p w14:paraId="5AD264CB" w14:textId="354668CF" w:rsidR="00211F6A" w:rsidRDefault="003C73EF" w:rsidP="00211F6A">
      <w:pPr>
        <w:ind w:left="2124" w:firstLine="708"/>
        <w:jc w:val="both"/>
        <w:rPr>
          <w:lang w:val="en-US"/>
        </w:rPr>
      </w:pPr>
      <w:r w:rsidRPr="00447DDF">
        <w:rPr>
          <w:noProof/>
          <w:color w:val="000000"/>
          <w:position w:val="-34"/>
        </w:rPr>
        <w:object w:dxaOrig="1760" w:dyaOrig="780" w14:anchorId="1DFC8946">
          <v:shape id="_x0000_i1030" type="#_x0000_t75" alt="" style="width:77.25pt;height:33.75pt;mso-width-percent:0;mso-height-percent:0;mso-width-percent:0;mso-height-percent:0" o:ole="">
            <v:imagedata r:id="rId36" o:title=""/>
          </v:shape>
          <o:OLEObject Type="Embed" ProgID="Equation.DSMT4" ShapeID="_x0000_i1030" DrawAspect="Content" ObjectID="_1654582172" r:id="rId37"/>
        </w:object>
      </w:r>
      <w:r w:rsidR="00211F6A" w:rsidRPr="00447DDF">
        <w:rPr>
          <w:color w:val="000000"/>
          <w:lang w:val="en-US"/>
        </w:rPr>
        <w:tab/>
      </w:r>
      <w:r w:rsidR="00211F6A" w:rsidRPr="00447DDF">
        <w:rPr>
          <w:color w:val="000000"/>
          <w:lang w:val="en-US"/>
        </w:rPr>
        <w:tab/>
      </w:r>
      <w:r w:rsidR="00211F6A" w:rsidRPr="00447DDF">
        <w:rPr>
          <w:color w:val="000000"/>
          <w:lang w:val="en-US"/>
        </w:rPr>
        <w:tab/>
      </w:r>
      <w:r w:rsidR="00211F6A" w:rsidRPr="00447DDF">
        <w:rPr>
          <w:color w:val="000000"/>
          <w:lang w:val="en-US"/>
        </w:rPr>
        <w:tab/>
      </w:r>
      <w:r w:rsidR="00211F6A" w:rsidRPr="00447DDF">
        <w:rPr>
          <w:color w:val="000000"/>
          <w:lang w:val="en-US"/>
        </w:rPr>
        <w:tab/>
      </w:r>
      <w:r w:rsidR="00211F6A" w:rsidRPr="00447DDF">
        <w:rPr>
          <w:color w:val="000000"/>
          <w:lang w:val="en-US"/>
        </w:rPr>
        <w:tab/>
      </w:r>
      <w:r w:rsidR="00211F6A">
        <w:rPr>
          <w:color w:val="000000"/>
          <w:lang w:val="en-US"/>
        </w:rPr>
        <w:t>(</w:t>
      </w:r>
      <w:r w:rsidR="00447DDF">
        <w:rPr>
          <w:color w:val="000000"/>
          <w:lang w:val="en-US"/>
        </w:rPr>
        <w:t>2</w:t>
      </w:r>
      <w:r w:rsidR="00211F6A">
        <w:rPr>
          <w:color w:val="000000"/>
          <w:lang w:val="en-US"/>
        </w:rPr>
        <w:t>)</w:t>
      </w:r>
      <w:r w:rsidR="00211F6A" w:rsidRPr="007B0253">
        <w:rPr>
          <w:lang w:val="en-US"/>
        </w:rPr>
        <w:t xml:space="preserve"> </w:t>
      </w:r>
    </w:p>
    <w:p w14:paraId="5471B036" w14:textId="07A13BA0" w:rsidR="00211F6A" w:rsidRPr="006146CB" w:rsidRDefault="00447DDF" w:rsidP="00211F6A">
      <w:pPr>
        <w:ind w:firstLine="709"/>
        <w:jc w:val="both"/>
        <w:rPr>
          <w:lang w:val="en-US"/>
        </w:rPr>
      </w:pPr>
      <w:r>
        <w:rPr>
          <w:lang w:val="en-US"/>
        </w:rPr>
        <w:t xml:space="preserve">where  </w:t>
      </w:r>
      <w:r w:rsidR="003C73EF" w:rsidRPr="00025957">
        <w:rPr>
          <w:noProof/>
          <w:position w:val="-4"/>
        </w:rPr>
        <w:object w:dxaOrig="260" w:dyaOrig="279" w14:anchorId="1303C231">
          <v:shape id="_x0000_i1031" type="#_x0000_t75" alt="" style="width:12.75pt;height:14.25pt;mso-width-percent:0;mso-height-percent:0;mso-width-percent:0;mso-height-percent:0" o:ole="">
            <v:imagedata r:id="rId38" o:title=""/>
          </v:shape>
          <o:OLEObject Type="Embed" ProgID="Equation.DSMT4" ShapeID="_x0000_i1031" DrawAspect="Content" ObjectID="_1654582173" r:id="rId39"/>
        </w:object>
      </w:r>
      <w:r w:rsidR="003C6954" w:rsidRPr="003C6954">
        <w:rPr>
          <w:lang w:val="en-US"/>
        </w:rPr>
        <w:t xml:space="preserve"> </w:t>
      </w:r>
      <w:r w:rsidR="006146CB">
        <w:rPr>
          <w:lang w:val="en-US"/>
        </w:rPr>
        <w:t>is</w:t>
      </w:r>
      <w:r w:rsidR="003C6954" w:rsidRPr="003C6954">
        <w:rPr>
          <w:lang w:val="en-US"/>
        </w:rPr>
        <w:t xml:space="preserve"> </w:t>
      </w:r>
      <w:r w:rsidR="003C6954">
        <w:rPr>
          <w:lang w:val="en-US"/>
        </w:rPr>
        <w:t>specific adsorption of argon,  mol</w:t>
      </w:r>
      <w:r w:rsidR="003C6954">
        <w:rPr>
          <w:rFonts w:ascii="Calibri" w:hAnsi="Calibri" w:cs="Calibri"/>
          <w:lang w:val="en-US"/>
        </w:rPr>
        <w:t>·</w:t>
      </w:r>
      <w:r w:rsidR="003C6954">
        <w:rPr>
          <w:lang w:val="en-US"/>
        </w:rPr>
        <w:t>g</w:t>
      </w:r>
      <w:r w:rsidR="003C6954" w:rsidRPr="00447DDF">
        <w:rPr>
          <w:vertAlign w:val="superscript"/>
          <w:lang w:val="en-US"/>
        </w:rPr>
        <w:t>-1</w:t>
      </w:r>
      <w:r w:rsidR="006146CB">
        <w:rPr>
          <w:lang w:val="en-US"/>
        </w:rPr>
        <w:t xml:space="preserve">; </w:t>
      </w:r>
      <w:r w:rsidR="006146CB">
        <w:t>С</w:t>
      </w:r>
      <w:r w:rsidR="006146CB">
        <w:rPr>
          <w:lang w:val="en-US"/>
        </w:rPr>
        <w:t xml:space="preserve"> is</w:t>
      </w:r>
      <w:r w:rsidR="006D49CD" w:rsidRPr="006D49CD">
        <w:rPr>
          <w:lang w:val="en-US"/>
        </w:rPr>
        <w:t xml:space="preserve"> </w:t>
      </w:r>
      <w:r w:rsidR="006D49CD" w:rsidRPr="007B0253">
        <w:rPr>
          <w:lang w:val="en-US"/>
        </w:rPr>
        <w:t>Langmuir</w:t>
      </w:r>
      <w:r w:rsidR="006146CB">
        <w:rPr>
          <w:lang w:val="en-US"/>
        </w:rPr>
        <w:t xml:space="preserve"> constant; </w:t>
      </w:r>
      <w:r w:rsidR="006146CB" w:rsidRPr="006146CB">
        <w:rPr>
          <w:lang w:val="en-US"/>
        </w:rPr>
        <w:t xml:space="preserve"> </w:t>
      </w:r>
      <w:r w:rsidR="003C73EF" w:rsidRPr="00025957">
        <w:rPr>
          <w:noProof/>
          <w:position w:val="-4"/>
        </w:rPr>
        <w:object w:dxaOrig="260" w:dyaOrig="279" w14:anchorId="23FA0E6D">
          <v:shape id="_x0000_i1032" type="#_x0000_t75" alt="" style="width:12.75pt;height:14.25pt;mso-width-percent:0;mso-height-percent:0;mso-width-percent:0;mso-height-percent:0" o:ole="">
            <v:imagedata r:id="rId40" o:title=""/>
          </v:shape>
          <o:OLEObject Type="Embed" ProgID="Equation.DSMT4" ShapeID="_x0000_i1032" DrawAspect="Content" ObjectID="_1654582174" r:id="rId41"/>
        </w:object>
      </w:r>
      <w:r w:rsidR="006146CB">
        <w:rPr>
          <w:lang w:val="en-US"/>
        </w:rPr>
        <w:t xml:space="preserve"> - pressure of the adsorptive in equilibrium with the adsorbate, Pa.  </w:t>
      </w:r>
    </w:p>
    <w:p w14:paraId="2881FA1C" w14:textId="7FA93BC6" w:rsidR="00211F6A" w:rsidRDefault="00211F6A" w:rsidP="00211F6A">
      <w:pPr>
        <w:ind w:firstLine="709"/>
        <w:jc w:val="both"/>
        <w:rPr>
          <w:b/>
          <w:lang w:val="en-US"/>
        </w:rPr>
      </w:pPr>
      <w:r w:rsidRPr="007B0253">
        <w:rPr>
          <w:b/>
          <w:lang w:val="en-US"/>
        </w:rPr>
        <w:t>Specific pore volume</w:t>
      </w:r>
      <w:r w:rsidR="008A5A66">
        <w:rPr>
          <w:b/>
          <w:lang w:val="en-US"/>
        </w:rPr>
        <w:t xml:space="preserve"> (informative characteristic)</w:t>
      </w:r>
    </w:p>
    <w:p w14:paraId="5CF6B2F5" w14:textId="77777777" w:rsidR="00211F6A" w:rsidRDefault="00211F6A" w:rsidP="00211F6A">
      <w:pPr>
        <w:ind w:firstLine="709"/>
        <w:jc w:val="both"/>
        <w:rPr>
          <w:color w:val="000000"/>
          <w:lang w:val="en-US"/>
        </w:rPr>
      </w:pPr>
      <w:bookmarkStart w:id="34" w:name="OLE_LINK101"/>
      <w:bookmarkStart w:id="35" w:name="OLE_LINK102"/>
      <w:r w:rsidRPr="001066FB">
        <w:rPr>
          <w:color w:val="000000"/>
          <w:lang w:val="en-US"/>
        </w:rPr>
        <w:t xml:space="preserve">Computed by the equation </w:t>
      </w:r>
      <w:proofErr w:type="spellStart"/>
      <w:r w:rsidRPr="001066FB">
        <w:rPr>
          <w:color w:val="000000"/>
          <w:lang w:val="en-US"/>
        </w:rPr>
        <w:t>Dubinin-Radushkevich</w:t>
      </w:r>
      <w:proofErr w:type="spellEnd"/>
      <w:r w:rsidRPr="001066FB">
        <w:rPr>
          <w:color w:val="000000"/>
          <w:lang w:val="en-US"/>
        </w:rPr>
        <w:t xml:space="preserve"> </w:t>
      </w:r>
      <w:proofErr w:type="gramStart"/>
      <w:r w:rsidRPr="001066FB">
        <w:rPr>
          <w:color w:val="000000"/>
          <w:lang w:val="en-US"/>
        </w:rPr>
        <w:t>in</w:t>
      </w:r>
      <w:r>
        <w:rPr>
          <w:color w:val="000000"/>
          <w:lang w:val="en-US"/>
        </w:rPr>
        <w:t xml:space="preserve"> </w:t>
      </w:r>
      <w:r w:rsidRPr="001066FB">
        <w:rPr>
          <w:color w:val="000000"/>
          <w:lang w:val="en-US"/>
        </w:rPr>
        <w:t xml:space="preserve"> the</w:t>
      </w:r>
      <w:proofErr w:type="gramEnd"/>
      <w:r>
        <w:rPr>
          <w:color w:val="000000"/>
          <w:lang w:val="en-US"/>
        </w:rPr>
        <w:t xml:space="preserve"> </w:t>
      </w:r>
      <w:r w:rsidRPr="001066FB">
        <w:rPr>
          <w:color w:val="000000"/>
          <w:lang w:val="en-US"/>
        </w:rPr>
        <w:t xml:space="preserve"> range </w:t>
      </w:r>
      <w:r>
        <w:rPr>
          <w:color w:val="000000"/>
          <w:lang w:val="en-US"/>
        </w:rPr>
        <w:t xml:space="preserve"> </w:t>
      </w:r>
      <w:r w:rsidRPr="001066FB">
        <w:rPr>
          <w:color w:val="000000"/>
          <w:lang w:val="en-US"/>
        </w:rPr>
        <w:t xml:space="preserve">P/Po </w:t>
      </w:r>
      <w:r>
        <w:rPr>
          <w:color w:val="000000"/>
          <w:lang w:val="en-US"/>
        </w:rPr>
        <w:t xml:space="preserve"> </w:t>
      </w:r>
      <w:r w:rsidRPr="001066FB">
        <w:rPr>
          <w:color w:val="000000"/>
          <w:lang w:val="en-US"/>
        </w:rPr>
        <w:t xml:space="preserve">from </w:t>
      </w:r>
      <w:r>
        <w:rPr>
          <w:color w:val="000000"/>
          <w:lang w:val="en-US"/>
        </w:rPr>
        <w:t xml:space="preserve"> </w:t>
      </w:r>
      <w:r w:rsidRPr="001066FB">
        <w:rPr>
          <w:color w:val="000000"/>
          <w:lang w:val="en-US"/>
        </w:rPr>
        <w:t>0.005</w:t>
      </w:r>
      <w:r>
        <w:rPr>
          <w:color w:val="000000"/>
          <w:lang w:val="en-US"/>
        </w:rPr>
        <w:t xml:space="preserve"> </w:t>
      </w:r>
      <w:r w:rsidRPr="001066FB">
        <w:rPr>
          <w:color w:val="000000"/>
          <w:lang w:val="en-US"/>
        </w:rPr>
        <w:t xml:space="preserve"> to </w:t>
      </w:r>
      <w:r>
        <w:rPr>
          <w:color w:val="000000"/>
          <w:lang w:val="en-US"/>
        </w:rPr>
        <w:t xml:space="preserve"> </w:t>
      </w:r>
      <w:r w:rsidRPr="001066FB">
        <w:rPr>
          <w:color w:val="000000"/>
          <w:lang w:val="en-US"/>
        </w:rPr>
        <w:t>0.10</w:t>
      </w:r>
      <w:r>
        <w:rPr>
          <w:color w:val="000000"/>
          <w:lang w:val="en-US"/>
        </w:rPr>
        <w:t>:</w:t>
      </w:r>
    </w:p>
    <w:p w14:paraId="447C4436" w14:textId="38905562" w:rsidR="00211F6A" w:rsidRDefault="00211F6A" w:rsidP="00211F6A">
      <w:pPr>
        <w:ind w:left="2123" w:firstLine="709"/>
        <w:jc w:val="both"/>
        <w:rPr>
          <w:color w:val="000000"/>
          <w:lang w:val="en-US"/>
        </w:rPr>
      </w:pPr>
      <w:r w:rsidRPr="001066FB">
        <w:rPr>
          <w:color w:val="000000"/>
          <w:lang w:val="en-US"/>
        </w:rPr>
        <w:t xml:space="preserve"> </w:t>
      </w:r>
      <w:r w:rsidR="003C73EF" w:rsidRPr="00593E14">
        <w:rPr>
          <w:noProof/>
          <w:color w:val="000000"/>
          <w:position w:val="-36"/>
        </w:rPr>
        <w:object w:dxaOrig="3019" w:dyaOrig="900" w14:anchorId="7C2B0171">
          <v:shape id="_x0000_i1033" type="#_x0000_t75" alt="" style="width:132pt;height:39.75pt;mso-width-percent:0;mso-height-percent:0;mso-width-percent:0;mso-height-percent:0" o:ole="">
            <v:imagedata r:id="rId42" o:title=""/>
          </v:shape>
          <o:OLEObject Type="Embed" ProgID="Equation.DSMT4" ShapeID="_x0000_i1033" DrawAspect="Content" ObjectID="_1654582175" r:id="rId43"/>
        </w:object>
      </w:r>
      <w:bookmarkEnd w:id="34"/>
      <w:bookmarkEnd w:id="35"/>
      <w:r>
        <w:rPr>
          <w:color w:val="000000"/>
          <w:lang w:val="en-US"/>
        </w:rPr>
        <w:t>,</w:t>
      </w:r>
      <w:r>
        <w:rPr>
          <w:color w:val="000000"/>
          <w:lang w:val="en-US"/>
        </w:rPr>
        <w:tab/>
      </w:r>
      <w:r>
        <w:rPr>
          <w:color w:val="000000"/>
          <w:lang w:val="en-US"/>
        </w:rPr>
        <w:tab/>
      </w:r>
      <w:r>
        <w:rPr>
          <w:color w:val="000000"/>
          <w:lang w:val="en-US"/>
        </w:rPr>
        <w:tab/>
      </w:r>
      <w:r>
        <w:rPr>
          <w:color w:val="000000"/>
          <w:lang w:val="en-US"/>
        </w:rPr>
        <w:tab/>
      </w:r>
      <w:r>
        <w:rPr>
          <w:color w:val="000000"/>
          <w:lang w:val="en-US"/>
        </w:rPr>
        <w:tab/>
        <w:t>(2)</w:t>
      </w:r>
      <w:r w:rsidRPr="001066FB">
        <w:rPr>
          <w:color w:val="000000"/>
          <w:lang w:val="en-US"/>
        </w:rPr>
        <w:t xml:space="preserve"> </w:t>
      </w:r>
    </w:p>
    <w:p w14:paraId="37F565A8" w14:textId="06CA27E1" w:rsidR="00211F6A" w:rsidRDefault="00211F6A" w:rsidP="00211F6A">
      <w:pPr>
        <w:ind w:firstLine="709"/>
        <w:jc w:val="both"/>
        <w:rPr>
          <w:color w:val="000000"/>
          <w:lang w:val="en-US"/>
        </w:rPr>
      </w:pPr>
      <w:r>
        <w:rPr>
          <w:color w:val="000000"/>
          <w:lang w:val="en-US"/>
        </w:rPr>
        <w:t xml:space="preserve">where </w:t>
      </w:r>
      <w:r w:rsidR="003C73EF" w:rsidRPr="006146CB">
        <w:rPr>
          <w:noProof/>
          <w:position w:val="-6"/>
        </w:rPr>
        <w:object w:dxaOrig="260" w:dyaOrig="300" w14:anchorId="2264A1F8">
          <v:shape id="_x0000_i1034" type="#_x0000_t75" alt="" style="width:12.75pt;height:15pt;mso-width-percent:0;mso-height-percent:0;mso-width-percent:0;mso-height-percent:0" o:ole="">
            <v:imagedata r:id="rId44" o:title=""/>
          </v:shape>
          <o:OLEObject Type="Embed" ProgID="Equation.DSMT4" ShapeID="_x0000_i1034" DrawAspect="Content" ObjectID="_1654582176" r:id="rId45"/>
        </w:object>
      </w:r>
      <w:r w:rsidR="006146CB" w:rsidRPr="006146CB">
        <w:rPr>
          <w:lang w:val="en-US"/>
        </w:rPr>
        <w:t xml:space="preserve"> - </w:t>
      </w:r>
      <w:r w:rsidR="006146CB">
        <w:rPr>
          <w:lang w:val="en-US"/>
        </w:rPr>
        <w:t>specific volume adsorbed, cm</w:t>
      </w:r>
      <w:r w:rsidR="006146CB">
        <w:rPr>
          <w:vertAlign w:val="superscript"/>
          <w:lang w:val="en-US"/>
        </w:rPr>
        <w:t>3</w:t>
      </w:r>
      <w:r w:rsidR="006146CB" w:rsidRPr="001066FB">
        <w:rPr>
          <w:lang w:val="en-US"/>
        </w:rPr>
        <w:t>/</w:t>
      </w:r>
      <w:proofErr w:type="gramStart"/>
      <w:r w:rsidR="006146CB" w:rsidRPr="001066FB">
        <w:rPr>
          <w:lang w:val="en-US"/>
        </w:rPr>
        <w:t>g</w:t>
      </w:r>
      <w:r w:rsidR="006146CB">
        <w:rPr>
          <w:lang w:val="en-US"/>
        </w:rPr>
        <w:t>;</w:t>
      </w:r>
      <w:proofErr w:type="gramEnd"/>
      <w:r w:rsidR="006146CB">
        <w:rPr>
          <w:color w:val="000000"/>
          <w:lang w:val="en-US"/>
        </w:rPr>
        <w:t xml:space="preserve"> </w:t>
      </w:r>
    </w:p>
    <w:p w14:paraId="6E209BDE" w14:textId="737A5AAC" w:rsidR="00211F6A" w:rsidRDefault="003C73EF" w:rsidP="00211F6A">
      <w:pPr>
        <w:ind w:firstLine="709"/>
        <w:jc w:val="both"/>
        <w:rPr>
          <w:color w:val="000000"/>
          <w:lang w:val="en-US"/>
        </w:rPr>
      </w:pPr>
      <w:r w:rsidRPr="00FC0820">
        <w:rPr>
          <w:noProof/>
          <w:position w:val="-12"/>
        </w:rPr>
        <w:object w:dxaOrig="520" w:dyaOrig="360" w14:anchorId="30698D2C">
          <v:shape id="_x0000_i1035" type="#_x0000_t75" alt="" style="width:25.5pt;height:18pt;mso-width-percent:0;mso-height-percent:0;mso-width-percent:0;mso-height-percent:0" o:ole="">
            <v:imagedata r:id="rId46" o:title=""/>
          </v:shape>
          <o:OLEObject Type="Embed" ProgID="Equation.DSMT4" ShapeID="_x0000_i1035" DrawAspect="Content" ObjectID="_1654582177" r:id="rId47"/>
        </w:object>
      </w:r>
      <w:r w:rsidR="00211F6A" w:rsidRPr="001066FB">
        <w:rPr>
          <w:lang w:val="en-US"/>
        </w:rPr>
        <w:t xml:space="preserve"> - the sorption capacity of argon under normal conditions under filled micropores, calculated by regression ana</w:t>
      </w:r>
      <w:r w:rsidR="00211F6A">
        <w:rPr>
          <w:lang w:val="en-US"/>
        </w:rPr>
        <w:t xml:space="preserve">lysis on the equation </w:t>
      </w:r>
      <w:proofErr w:type="spellStart"/>
      <w:r w:rsidR="00211F6A">
        <w:rPr>
          <w:lang w:val="en-US"/>
        </w:rPr>
        <w:t>Dubinin</w:t>
      </w:r>
      <w:proofErr w:type="spellEnd"/>
      <w:r w:rsidR="00211F6A">
        <w:rPr>
          <w:lang w:val="en-US"/>
        </w:rPr>
        <w:t>, cm</w:t>
      </w:r>
      <w:r w:rsidR="00211F6A">
        <w:rPr>
          <w:vertAlign w:val="superscript"/>
          <w:lang w:val="en-US"/>
        </w:rPr>
        <w:t>3</w:t>
      </w:r>
      <w:r w:rsidR="00211F6A" w:rsidRPr="001066FB">
        <w:rPr>
          <w:lang w:val="en-US"/>
        </w:rPr>
        <w:t>/g.</w:t>
      </w:r>
    </w:p>
    <w:p w14:paraId="040F32B5" w14:textId="77777777" w:rsidR="00211F6A" w:rsidRPr="00CB47B7" w:rsidRDefault="00211F6A" w:rsidP="00211F6A">
      <w:pPr>
        <w:ind w:firstLine="709"/>
        <w:jc w:val="both"/>
        <w:rPr>
          <w:color w:val="000000"/>
          <w:lang w:val="en-US"/>
        </w:rPr>
      </w:pPr>
    </w:p>
    <w:p w14:paraId="1D64CCA1" w14:textId="14286E6A" w:rsidR="00211F6A" w:rsidRDefault="00211F6A" w:rsidP="00211F6A">
      <w:pPr>
        <w:ind w:firstLine="709"/>
        <w:jc w:val="both"/>
        <w:rPr>
          <w:lang w:val="en-US"/>
        </w:rPr>
      </w:pPr>
      <w:r w:rsidRPr="001066FB">
        <w:rPr>
          <w:color w:val="000000"/>
          <w:lang w:val="en-US"/>
        </w:rPr>
        <w:t>The den</w:t>
      </w:r>
      <w:r>
        <w:rPr>
          <w:color w:val="000000"/>
          <w:lang w:val="en-US"/>
        </w:rPr>
        <w:t>sity of argon liquid =1.40 g/cm</w:t>
      </w:r>
      <w:r w:rsidRPr="001066FB">
        <w:rPr>
          <w:color w:val="000000"/>
          <w:vertAlign w:val="superscript"/>
          <w:lang w:val="en-US"/>
        </w:rPr>
        <w:t>3</w:t>
      </w:r>
      <w:r w:rsidRPr="001066FB">
        <w:rPr>
          <w:color w:val="000000"/>
          <w:lang w:val="en-US"/>
        </w:rPr>
        <w:t xml:space="preserve"> (87.29 K). The density of argon under </w:t>
      </w:r>
      <w:r>
        <w:rPr>
          <w:color w:val="000000"/>
          <w:lang w:val="en-US"/>
        </w:rPr>
        <w:t>normal conditions =1,7840 mg/cm</w:t>
      </w:r>
      <w:r w:rsidRPr="001066FB">
        <w:rPr>
          <w:color w:val="000000"/>
          <w:vertAlign w:val="superscript"/>
          <w:lang w:val="en-US"/>
        </w:rPr>
        <w:t>3</w:t>
      </w:r>
      <w:r w:rsidRPr="001066FB">
        <w:rPr>
          <w:color w:val="000000"/>
          <w:lang w:val="en-US"/>
        </w:rPr>
        <w:t>. The calculations used the ratio</w:t>
      </w:r>
      <w:r w:rsidR="003C73EF" w:rsidRPr="00B7592E">
        <w:rPr>
          <w:noProof/>
          <w:position w:val="-30"/>
        </w:rPr>
        <w:object w:dxaOrig="1500" w:dyaOrig="720" w14:anchorId="18E3430A">
          <v:shape id="_x0000_i1036" type="#_x0000_t75" alt="" style="width:75pt;height:36pt;mso-width-percent:0;mso-height-percent:0;mso-width-percent:0;mso-height-percent:0" o:ole="">
            <v:imagedata r:id="rId48" o:title=""/>
          </v:shape>
          <o:OLEObject Type="Embed" ProgID="Equation.DSMT4" ShapeID="_x0000_i1036" DrawAspect="Content" ObjectID="_1654582178" r:id="rId49"/>
        </w:object>
      </w:r>
      <w:r w:rsidRPr="001066FB">
        <w:rPr>
          <w:lang w:val="en-US"/>
        </w:rPr>
        <w:t>. Calculate the specific volume of pores according to the formula:</w:t>
      </w:r>
    </w:p>
    <w:p w14:paraId="3F0B08C4" w14:textId="72C036A0" w:rsidR="00211F6A" w:rsidRPr="000B6CEA" w:rsidRDefault="003C73EF" w:rsidP="00211F6A">
      <w:pPr>
        <w:ind w:firstLine="3544"/>
        <w:jc w:val="both"/>
        <w:rPr>
          <w:color w:val="000000"/>
          <w:lang w:val="en-US"/>
        </w:rPr>
      </w:pPr>
      <w:r w:rsidRPr="001066FB">
        <w:rPr>
          <w:noProof/>
          <w:color w:val="000000"/>
          <w:position w:val="-30"/>
        </w:rPr>
        <w:object w:dxaOrig="1800" w:dyaOrig="720" w14:anchorId="618F9B31">
          <v:shape id="_x0000_i1037" type="#_x0000_t75" alt="" style="width:90pt;height:36pt;mso-width-percent:0;mso-height-percent:0;mso-width-percent:0;mso-height-percent:0" o:ole="">
            <v:imagedata r:id="rId50" o:title=""/>
          </v:shape>
          <o:OLEObject Type="Embed" ProgID="Equation.DSMT4" ShapeID="_x0000_i1037" DrawAspect="Content" ObjectID="_1654582179" r:id="rId51"/>
        </w:object>
      </w:r>
      <w:r w:rsidR="00211F6A">
        <w:rPr>
          <w:color w:val="000000"/>
          <w:lang w:val="en-US"/>
        </w:rPr>
        <w:tab/>
      </w:r>
      <w:r w:rsidR="00211F6A">
        <w:rPr>
          <w:color w:val="000000"/>
          <w:lang w:val="en-US"/>
        </w:rPr>
        <w:tab/>
      </w:r>
      <w:r w:rsidR="00211F6A">
        <w:rPr>
          <w:color w:val="000000"/>
          <w:lang w:val="en-US"/>
        </w:rPr>
        <w:tab/>
      </w:r>
      <w:r w:rsidR="00211F6A">
        <w:rPr>
          <w:color w:val="000000"/>
          <w:lang w:val="en-US"/>
        </w:rPr>
        <w:tab/>
      </w:r>
      <w:r w:rsidR="00211F6A">
        <w:rPr>
          <w:color w:val="000000"/>
          <w:lang w:val="en-US"/>
        </w:rPr>
        <w:tab/>
      </w:r>
      <w:r w:rsidR="00211F6A" w:rsidRPr="000B6CEA">
        <w:rPr>
          <w:color w:val="000000"/>
          <w:lang w:val="en-US"/>
        </w:rPr>
        <w:t>(</w:t>
      </w:r>
      <w:r w:rsidR="000D5954">
        <w:rPr>
          <w:color w:val="000000"/>
          <w:lang w:val="en-US"/>
        </w:rPr>
        <w:t>3</w:t>
      </w:r>
      <w:r w:rsidR="00211F6A" w:rsidRPr="000B6CEA">
        <w:rPr>
          <w:color w:val="000000"/>
          <w:lang w:val="en-US"/>
        </w:rPr>
        <w:t>)</w:t>
      </w:r>
    </w:p>
    <w:p w14:paraId="255C1D99" w14:textId="2D7FEB86" w:rsidR="00211F6A" w:rsidRDefault="00211F6A" w:rsidP="00211F6A">
      <w:pPr>
        <w:ind w:firstLine="709"/>
        <w:jc w:val="both"/>
        <w:rPr>
          <w:lang w:val="en-US"/>
        </w:rPr>
      </w:pPr>
      <w:r>
        <w:rPr>
          <w:lang w:val="en-US"/>
        </w:rPr>
        <w:t>w</w:t>
      </w:r>
      <w:r w:rsidRPr="001066FB">
        <w:rPr>
          <w:lang w:val="en-US"/>
        </w:rPr>
        <w:t xml:space="preserve">here </w:t>
      </w:r>
      <w:r w:rsidR="003C73EF" w:rsidRPr="00FC0820">
        <w:rPr>
          <w:noProof/>
          <w:position w:val="-12"/>
        </w:rPr>
        <w:object w:dxaOrig="520" w:dyaOrig="360" w14:anchorId="5D41885B">
          <v:shape id="_x0000_i1038" type="#_x0000_t75" alt="" style="width:25.5pt;height:18pt;mso-width-percent:0;mso-height-percent:0;mso-width-percent:0;mso-height-percent:0" o:ole="">
            <v:imagedata r:id="rId46" o:title=""/>
          </v:shape>
          <o:OLEObject Type="Embed" ProgID="Equation.DSMT4" ShapeID="_x0000_i1038" DrawAspect="Content" ObjectID="_1654582180" r:id="rId52"/>
        </w:object>
      </w:r>
      <w:r w:rsidRPr="001066FB">
        <w:rPr>
          <w:lang w:val="en-US"/>
        </w:rPr>
        <w:t xml:space="preserve"> - the sorption capacity of argon under normal conditions under filled micropores, calculated by regression ana</w:t>
      </w:r>
      <w:r>
        <w:rPr>
          <w:lang w:val="en-US"/>
        </w:rPr>
        <w:t xml:space="preserve">lysis on the equation </w:t>
      </w:r>
      <w:proofErr w:type="spellStart"/>
      <w:r>
        <w:rPr>
          <w:lang w:val="en-US"/>
        </w:rPr>
        <w:t>Dubinin</w:t>
      </w:r>
      <w:proofErr w:type="spellEnd"/>
      <w:r>
        <w:rPr>
          <w:lang w:val="en-US"/>
        </w:rPr>
        <w:t>, cm</w:t>
      </w:r>
      <w:r>
        <w:rPr>
          <w:vertAlign w:val="superscript"/>
          <w:lang w:val="en-US"/>
        </w:rPr>
        <w:t>3</w:t>
      </w:r>
      <w:r w:rsidRPr="001066FB">
        <w:rPr>
          <w:lang w:val="en-US"/>
        </w:rPr>
        <w:t>/g.</w:t>
      </w:r>
    </w:p>
    <w:p w14:paraId="59E83A9E" w14:textId="6125B6AB" w:rsidR="00211F6A" w:rsidRDefault="000D5954" w:rsidP="00211F6A">
      <w:pPr>
        <w:ind w:firstLine="709"/>
        <w:jc w:val="both"/>
        <w:rPr>
          <w:b/>
          <w:lang w:val="en-US"/>
        </w:rPr>
      </w:pPr>
      <w:r>
        <w:rPr>
          <w:b/>
          <w:lang w:val="en-US"/>
        </w:rPr>
        <w:t>Most frequency</w:t>
      </w:r>
      <w:r w:rsidR="00211F6A" w:rsidRPr="00AD0593">
        <w:rPr>
          <w:b/>
          <w:lang w:val="en-US"/>
        </w:rPr>
        <w:t xml:space="preserve"> pore diameter D</w:t>
      </w:r>
      <w:r w:rsidR="00211F6A">
        <w:rPr>
          <w:b/>
          <w:lang w:val="en-US"/>
        </w:rPr>
        <w:t xml:space="preserve">, nm </w:t>
      </w:r>
      <w:r w:rsidR="008A5A66">
        <w:rPr>
          <w:b/>
          <w:lang w:val="en-US"/>
        </w:rPr>
        <w:t>(informative characteristic)</w:t>
      </w:r>
    </w:p>
    <w:p w14:paraId="58FD721D" w14:textId="77777777" w:rsidR="00211F6A" w:rsidRDefault="00211F6A" w:rsidP="00211F6A">
      <w:pPr>
        <w:ind w:firstLine="709"/>
        <w:jc w:val="both"/>
        <w:rPr>
          <w:lang w:val="en-US"/>
        </w:rPr>
      </w:pPr>
      <w:r w:rsidRPr="00AD0593">
        <w:rPr>
          <w:lang w:val="en-US"/>
        </w:rPr>
        <w:t>It is calculated as a mode of pore distribution over diameters with a modal interval equal to 0.01 nm (as a rule, it is calculated automatically using the software of gas adsorption analyzers).</w:t>
      </w:r>
      <w:r>
        <w:rPr>
          <w:lang w:val="en-US"/>
        </w:rPr>
        <w:t xml:space="preserve"> </w:t>
      </w:r>
      <w:r w:rsidRPr="00AD0593">
        <w:rPr>
          <w:lang w:val="en-US"/>
        </w:rPr>
        <w:t xml:space="preserve">The pore diameter is calculated by the </w:t>
      </w:r>
      <w:r>
        <w:rPr>
          <w:lang w:val="en-US"/>
        </w:rPr>
        <w:t>Ho</w:t>
      </w:r>
      <w:r w:rsidRPr="00AD0593">
        <w:rPr>
          <w:lang w:val="en-US"/>
        </w:rPr>
        <w:t>r</w:t>
      </w:r>
      <w:r>
        <w:rPr>
          <w:lang w:val="en-US"/>
        </w:rPr>
        <w:t>v</w:t>
      </w:r>
      <w:r w:rsidRPr="00AD0593">
        <w:rPr>
          <w:lang w:val="en-US"/>
        </w:rPr>
        <w:t>at</w:t>
      </w:r>
      <w:r>
        <w:rPr>
          <w:lang w:val="en-US"/>
        </w:rPr>
        <w:t>h</w:t>
      </w:r>
      <w:r w:rsidRPr="00AD0593">
        <w:rPr>
          <w:lang w:val="en-US"/>
        </w:rPr>
        <w:t>-Kawazoe and Saito-Foley method</w:t>
      </w:r>
      <w:r>
        <w:rPr>
          <w:lang w:val="en-US"/>
        </w:rPr>
        <w:t>:</w:t>
      </w:r>
    </w:p>
    <w:p w14:paraId="07A423EA" w14:textId="3B4ACFDB" w:rsidR="00211F6A" w:rsidRDefault="00211F6A" w:rsidP="00211F6A">
      <w:pPr>
        <w:ind w:left="1416" w:firstLine="708"/>
        <w:jc w:val="both"/>
        <w:rPr>
          <w:lang w:val="en-US"/>
        </w:rPr>
      </w:pPr>
      <w:r>
        <w:rPr>
          <w:lang w:val="en-US"/>
        </w:rPr>
        <w:t xml:space="preserve"> </w:t>
      </w:r>
      <w:r w:rsidR="003C73EF" w:rsidRPr="00C55CFF">
        <w:rPr>
          <w:noProof/>
          <w:position w:val="-32"/>
        </w:rPr>
        <w:object w:dxaOrig="4880" w:dyaOrig="760" w14:anchorId="3618F7EE">
          <v:shape id="_x0000_i1039" type="#_x0000_t75" alt="" style="width:243.75pt;height:38.25pt;mso-width-percent:0;mso-height-percent:0;mso-width-percent:0;mso-height-percent:0" o:ole="">
            <v:imagedata r:id="rId53" o:title=""/>
          </v:shape>
          <o:OLEObject Type="Embed" ProgID="Equation.DSMT4" ShapeID="_x0000_i1039" DrawAspect="Content" ObjectID="_1654582181" r:id="rId54"/>
        </w:object>
      </w:r>
      <w:r>
        <w:rPr>
          <w:lang w:val="en-US"/>
        </w:rPr>
        <w:tab/>
      </w:r>
      <w:r>
        <w:rPr>
          <w:lang w:val="en-US"/>
        </w:rPr>
        <w:tab/>
      </w:r>
      <w:r>
        <w:rPr>
          <w:lang w:val="en-US"/>
        </w:rPr>
        <w:tab/>
        <w:t>(</w:t>
      </w:r>
      <w:r w:rsidR="000D5954">
        <w:rPr>
          <w:lang w:val="en-US"/>
        </w:rPr>
        <w:t>4</w:t>
      </w:r>
      <w:r>
        <w:rPr>
          <w:lang w:val="en-US"/>
        </w:rPr>
        <w:t xml:space="preserve">) </w:t>
      </w:r>
    </w:p>
    <w:p w14:paraId="3D1D968A" w14:textId="2F5B403F" w:rsidR="00211F6A" w:rsidRDefault="00211F6A" w:rsidP="00211F6A">
      <w:pPr>
        <w:ind w:firstLine="709"/>
        <w:jc w:val="both"/>
        <w:rPr>
          <w:lang w:val="en-US"/>
        </w:rPr>
      </w:pPr>
      <w:r w:rsidRPr="00AD0593">
        <w:rPr>
          <w:lang w:val="en-US"/>
        </w:rPr>
        <w:t xml:space="preserve">The following parameters of the adsorbent and adsorbate given in tables </w:t>
      </w:r>
      <w:r>
        <w:rPr>
          <w:lang w:val="en-US"/>
        </w:rPr>
        <w:t>4</w:t>
      </w:r>
      <w:r w:rsidRPr="00AD0593">
        <w:rPr>
          <w:lang w:val="en-US"/>
        </w:rPr>
        <w:t xml:space="preserve">, </w:t>
      </w:r>
      <w:r>
        <w:rPr>
          <w:lang w:val="en-US"/>
        </w:rPr>
        <w:t>5</w:t>
      </w:r>
      <w:r w:rsidRPr="00AD0593">
        <w:rPr>
          <w:lang w:val="en-US"/>
        </w:rPr>
        <w:t xml:space="preserve"> are used to perform calculations by the </w:t>
      </w:r>
      <w:r>
        <w:rPr>
          <w:lang w:val="en-US"/>
        </w:rPr>
        <w:t>Ho</w:t>
      </w:r>
      <w:r w:rsidRPr="00AD0593">
        <w:rPr>
          <w:lang w:val="en-US"/>
        </w:rPr>
        <w:t>r</w:t>
      </w:r>
      <w:r>
        <w:rPr>
          <w:lang w:val="en-US"/>
        </w:rPr>
        <w:t>v</w:t>
      </w:r>
      <w:r w:rsidRPr="00AD0593">
        <w:rPr>
          <w:lang w:val="en-US"/>
        </w:rPr>
        <w:t>at</w:t>
      </w:r>
      <w:r>
        <w:rPr>
          <w:lang w:val="en-US"/>
        </w:rPr>
        <w:t>h</w:t>
      </w:r>
      <w:r w:rsidRPr="00AD0593">
        <w:rPr>
          <w:lang w:val="en-US"/>
        </w:rPr>
        <w:t xml:space="preserve"> -Kawazoe and Saito-Foley method.</w:t>
      </w:r>
    </w:p>
    <w:p w14:paraId="33250F7D" w14:textId="0A79BD68" w:rsidR="00211F6A" w:rsidRDefault="00211F6A" w:rsidP="00211F6A">
      <w:pPr>
        <w:jc w:val="both"/>
        <w:rPr>
          <w:lang w:val="en-US"/>
        </w:rPr>
      </w:pPr>
      <w:r w:rsidRPr="00211F6A">
        <w:rPr>
          <w:b/>
          <w:bCs/>
          <w:lang w:val="en-US"/>
        </w:rPr>
        <w:t>Table 4</w:t>
      </w:r>
      <w:r w:rsidRPr="00AD0593">
        <w:rPr>
          <w:lang w:val="en-US"/>
        </w:rPr>
        <w:t xml:space="preserve"> — Parameters for zeolite adsorbent</w:t>
      </w:r>
    </w:p>
    <w:tbl>
      <w:tblPr>
        <w:tblW w:w="95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91" w:type="dxa"/>
          <w:left w:w="0" w:type="dxa"/>
          <w:right w:w="79" w:type="dxa"/>
        </w:tblCellMar>
        <w:tblLook w:val="04A0" w:firstRow="1" w:lastRow="0" w:firstColumn="1" w:lastColumn="0" w:noHBand="0" w:noVBand="1"/>
      </w:tblPr>
      <w:tblGrid>
        <w:gridCol w:w="2850"/>
        <w:gridCol w:w="2548"/>
        <w:gridCol w:w="1831"/>
        <w:gridCol w:w="2284"/>
      </w:tblGrid>
      <w:tr w:rsidR="00211F6A" w:rsidRPr="00535205" w14:paraId="19FE89CB" w14:textId="77777777" w:rsidTr="008C4448">
        <w:trPr>
          <w:trHeight w:val="360"/>
        </w:trPr>
        <w:tc>
          <w:tcPr>
            <w:tcW w:w="2850" w:type="dxa"/>
            <w:shd w:val="clear" w:color="auto" w:fill="auto"/>
          </w:tcPr>
          <w:p w14:paraId="2FD002B5" w14:textId="77777777" w:rsidR="00211F6A" w:rsidRPr="00535205" w:rsidRDefault="00211F6A" w:rsidP="008C4448">
            <w:pPr>
              <w:ind w:left="-6" w:firstLine="23"/>
              <w:jc w:val="center"/>
            </w:pPr>
            <w:proofErr w:type="spellStart"/>
            <w:r>
              <w:t>Physical</w:t>
            </w:r>
            <w:proofErr w:type="spellEnd"/>
            <w:r>
              <w:t xml:space="preserve"> </w:t>
            </w:r>
            <w:proofErr w:type="spellStart"/>
            <w:r>
              <w:t>quantity</w:t>
            </w:r>
            <w:proofErr w:type="spellEnd"/>
          </w:p>
        </w:tc>
        <w:tc>
          <w:tcPr>
            <w:tcW w:w="2548" w:type="dxa"/>
            <w:shd w:val="clear" w:color="auto" w:fill="auto"/>
          </w:tcPr>
          <w:p w14:paraId="5A049A7E" w14:textId="77777777" w:rsidR="00211F6A" w:rsidRPr="00AD0593" w:rsidRDefault="00211F6A" w:rsidP="008C4448">
            <w:pPr>
              <w:ind w:left="-6" w:firstLine="23"/>
              <w:jc w:val="center"/>
              <w:rPr>
                <w:lang w:val="en-US"/>
              </w:rPr>
            </w:pPr>
            <w:r>
              <w:rPr>
                <w:lang w:val="en-US"/>
              </w:rPr>
              <w:t>Unit</w:t>
            </w:r>
          </w:p>
        </w:tc>
        <w:tc>
          <w:tcPr>
            <w:tcW w:w="1831" w:type="dxa"/>
            <w:shd w:val="clear" w:color="auto" w:fill="auto"/>
          </w:tcPr>
          <w:p w14:paraId="7DA7AB36" w14:textId="77777777" w:rsidR="00211F6A" w:rsidRPr="00535205" w:rsidRDefault="00211F6A" w:rsidP="008C4448">
            <w:pPr>
              <w:ind w:left="-6" w:firstLine="23"/>
              <w:jc w:val="center"/>
            </w:pPr>
            <w:proofErr w:type="spellStart"/>
            <w:r>
              <w:t>Symbol</w:t>
            </w:r>
            <w:proofErr w:type="spellEnd"/>
          </w:p>
        </w:tc>
        <w:tc>
          <w:tcPr>
            <w:tcW w:w="2284" w:type="dxa"/>
            <w:shd w:val="clear" w:color="auto" w:fill="auto"/>
          </w:tcPr>
          <w:p w14:paraId="246035D9" w14:textId="77777777" w:rsidR="00211F6A" w:rsidRPr="00535205" w:rsidRDefault="00211F6A" w:rsidP="008C4448">
            <w:pPr>
              <w:ind w:left="-6" w:firstLine="23"/>
              <w:jc w:val="center"/>
            </w:pPr>
            <w:proofErr w:type="spellStart"/>
            <w:r>
              <w:t>Zeolite</w:t>
            </w:r>
            <w:proofErr w:type="spellEnd"/>
          </w:p>
        </w:tc>
      </w:tr>
      <w:tr w:rsidR="00211F6A" w:rsidRPr="00593E14" w14:paraId="099BC690" w14:textId="77777777" w:rsidTr="008C4448">
        <w:trPr>
          <w:trHeight w:val="353"/>
        </w:trPr>
        <w:tc>
          <w:tcPr>
            <w:tcW w:w="2850" w:type="dxa"/>
            <w:shd w:val="clear" w:color="auto" w:fill="auto"/>
          </w:tcPr>
          <w:p w14:paraId="54F900EB" w14:textId="77777777" w:rsidR="00211F6A" w:rsidRPr="00AD0593" w:rsidRDefault="00211F6A" w:rsidP="008C4448">
            <w:pPr>
              <w:ind w:left="-5" w:firstLine="23"/>
              <w:jc w:val="both"/>
              <w:rPr>
                <w:lang w:val="en-US"/>
              </w:rPr>
            </w:pPr>
            <w:proofErr w:type="spellStart"/>
            <w:r>
              <w:t>Polar</w:t>
            </w:r>
            <w:r>
              <w:rPr>
                <w:lang w:val="en-US"/>
              </w:rPr>
              <w:t>izability</w:t>
            </w:r>
            <w:proofErr w:type="spellEnd"/>
          </w:p>
        </w:tc>
        <w:tc>
          <w:tcPr>
            <w:tcW w:w="2548" w:type="dxa"/>
            <w:shd w:val="clear" w:color="auto" w:fill="auto"/>
          </w:tcPr>
          <w:p w14:paraId="6FA51ED8" w14:textId="77777777" w:rsidR="00211F6A" w:rsidRPr="00593E14" w:rsidRDefault="00211F6A" w:rsidP="008C4448">
            <w:pPr>
              <w:ind w:left="-5" w:firstLine="23"/>
              <w:jc w:val="center"/>
            </w:pPr>
            <w:r w:rsidRPr="00593E14">
              <w:t>10</w:t>
            </w:r>
            <w:r w:rsidRPr="00593E14">
              <w:rPr>
                <w:rFonts w:eastAsia="Segoe UI Symbol"/>
                <w:vertAlign w:val="superscript"/>
              </w:rPr>
              <w:t>−</w:t>
            </w:r>
            <w:r w:rsidRPr="00593E14">
              <w:rPr>
                <w:vertAlign w:val="superscript"/>
              </w:rPr>
              <w:t>24</w:t>
            </w:r>
            <w:r>
              <w:t xml:space="preserve"> cm</w:t>
            </w:r>
            <w:r w:rsidRPr="00593E14">
              <w:rPr>
                <w:vertAlign w:val="superscript"/>
              </w:rPr>
              <w:t>3</w:t>
            </w:r>
          </w:p>
        </w:tc>
        <w:tc>
          <w:tcPr>
            <w:tcW w:w="1831" w:type="dxa"/>
            <w:shd w:val="clear" w:color="auto" w:fill="auto"/>
          </w:tcPr>
          <w:p w14:paraId="2C9D3EC1" w14:textId="77777777" w:rsidR="00211F6A" w:rsidRPr="00593E14" w:rsidRDefault="003C73EF" w:rsidP="008C4448">
            <w:pPr>
              <w:ind w:left="-5" w:firstLine="23"/>
              <w:jc w:val="center"/>
            </w:pPr>
            <w:r w:rsidRPr="00593E14">
              <w:rPr>
                <w:noProof/>
                <w:position w:val="-16"/>
              </w:rPr>
              <w:object w:dxaOrig="520" w:dyaOrig="420" w14:anchorId="76EC3C60">
                <v:shape id="_x0000_i1040" type="#_x0000_t75" alt="" style="width:18.75pt;height:15.75pt;mso-width-percent:0;mso-height-percent:0;mso-width-percent:0;mso-height-percent:0" o:ole="" filled="t">
                  <v:imagedata r:id="rId55" o:title=""/>
                </v:shape>
                <o:OLEObject Type="Embed" ProgID="Equation.DSMT4" ShapeID="_x0000_i1040" DrawAspect="Content" ObjectID="_1654582182" r:id="rId56"/>
              </w:object>
            </w:r>
          </w:p>
        </w:tc>
        <w:tc>
          <w:tcPr>
            <w:tcW w:w="2284" w:type="dxa"/>
            <w:shd w:val="clear" w:color="auto" w:fill="auto"/>
          </w:tcPr>
          <w:p w14:paraId="277D3660" w14:textId="77777777" w:rsidR="00211F6A" w:rsidRPr="00593E14" w:rsidRDefault="00211F6A" w:rsidP="008C4448">
            <w:pPr>
              <w:ind w:left="-5" w:firstLine="23"/>
              <w:jc w:val="center"/>
              <w:rPr>
                <w:lang w:val="en-US"/>
              </w:rPr>
            </w:pPr>
            <w:r w:rsidRPr="00593E14">
              <w:rPr>
                <w:lang w:val="en-US"/>
              </w:rPr>
              <w:t>2,50</w:t>
            </w:r>
          </w:p>
        </w:tc>
      </w:tr>
      <w:tr w:rsidR="00211F6A" w:rsidRPr="00593E14" w14:paraId="43318697" w14:textId="77777777" w:rsidTr="008C4448">
        <w:trPr>
          <w:trHeight w:val="343"/>
        </w:trPr>
        <w:tc>
          <w:tcPr>
            <w:tcW w:w="2850" w:type="dxa"/>
            <w:shd w:val="clear" w:color="auto" w:fill="auto"/>
          </w:tcPr>
          <w:p w14:paraId="381D32F1" w14:textId="77777777" w:rsidR="00211F6A" w:rsidRPr="00593E14" w:rsidRDefault="00211F6A" w:rsidP="008C4448">
            <w:pPr>
              <w:ind w:left="-5" w:firstLine="23"/>
              <w:jc w:val="both"/>
              <w:rPr>
                <w:lang w:val="en-US"/>
              </w:rPr>
            </w:pPr>
            <w:proofErr w:type="spellStart"/>
            <w:r>
              <w:t>Magnetic</w:t>
            </w:r>
            <w:proofErr w:type="spellEnd"/>
            <w:r>
              <w:t xml:space="preserve"> </w:t>
            </w:r>
            <w:proofErr w:type="spellStart"/>
            <w:r>
              <w:t>susceptibility</w:t>
            </w:r>
            <w:proofErr w:type="spellEnd"/>
          </w:p>
        </w:tc>
        <w:tc>
          <w:tcPr>
            <w:tcW w:w="2548" w:type="dxa"/>
            <w:shd w:val="clear" w:color="auto" w:fill="auto"/>
          </w:tcPr>
          <w:p w14:paraId="53381CF8" w14:textId="77777777" w:rsidR="00211F6A" w:rsidRPr="00593E14" w:rsidRDefault="00211F6A" w:rsidP="008C4448">
            <w:pPr>
              <w:ind w:left="-5" w:firstLine="23"/>
              <w:jc w:val="center"/>
              <w:rPr>
                <w:lang w:val="en-US"/>
              </w:rPr>
            </w:pPr>
            <w:r w:rsidRPr="00593E14">
              <w:rPr>
                <w:lang w:val="en-US"/>
              </w:rPr>
              <w:t>10</w:t>
            </w:r>
            <w:r w:rsidRPr="00593E14">
              <w:rPr>
                <w:rFonts w:eastAsia="Segoe UI Symbol"/>
                <w:vertAlign w:val="superscript"/>
                <w:lang w:val="en-US"/>
              </w:rPr>
              <w:t>−</w:t>
            </w:r>
            <w:r w:rsidRPr="00593E14">
              <w:rPr>
                <w:vertAlign w:val="superscript"/>
                <w:lang w:val="en-US"/>
              </w:rPr>
              <w:t>29</w:t>
            </w:r>
            <w:r w:rsidRPr="00593E14">
              <w:rPr>
                <w:lang w:val="en-US"/>
              </w:rPr>
              <w:t xml:space="preserve"> </w:t>
            </w:r>
            <w:proofErr w:type="spellStart"/>
            <w:r>
              <w:t>cm</w:t>
            </w:r>
            <w:proofErr w:type="spellEnd"/>
            <w:r w:rsidRPr="00593E14">
              <w:rPr>
                <w:vertAlign w:val="superscript"/>
                <w:lang w:val="en-US"/>
              </w:rPr>
              <w:t>3</w:t>
            </w:r>
          </w:p>
        </w:tc>
        <w:tc>
          <w:tcPr>
            <w:tcW w:w="1831" w:type="dxa"/>
            <w:shd w:val="clear" w:color="auto" w:fill="auto"/>
          </w:tcPr>
          <w:p w14:paraId="2ABC32A2" w14:textId="77777777" w:rsidR="00211F6A" w:rsidRPr="00593E14" w:rsidRDefault="003C73EF" w:rsidP="008C4448">
            <w:pPr>
              <w:ind w:left="-5" w:firstLine="23"/>
              <w:jc w:val="center"/>
              <w:rPr>
                <w:lang w:val="en-US"/>
              </w:rPr>
            </w:pPr>
            <w:r w:rsidRPr="00593E14">
              <w:rPr>
                <w:noProof/>
                <w:position w:val="-12"/>
              </w:rPr>
              <w:object w:dxaOrig="320" w:dyaOrig="380" w14:anchorId="5FD523B0">
                <v:shape id="_x0000_i1041" type="#_x0000_t75" alt="" style="width:12pt;height:14.25pt;mso-width-percent:0;mso-height-percent:0;mso-width-percent:0;mso-height-percent:0" o:ole="" filled="t">
                  <v:imagedata r:id="rId57" o:title=""/>
                </v:shape>
                <o:OLEObject Type="Embed" ProgID="Equation.DSMT4" ShapeID="_x0000_i1041" DrawAspect="Content" ObjectID="_1654582183" r:id="rId58"/>
              </w:object>
            </w:r>
          </w:p>
        </w:tc>
        <w:tc>
          <w:tcPr>
            <w:tcW w:w="2284" w:type="dxa"/>
            <w:shd w:val="clear" w:color="auto" w:fill="auto"/>
          </w:tcPr>
          <w:p w14:paraId="10EF30D8" w14:textId="77777777" w:rsidR="00211F6A" w:rsidRPr="00593E14" w:rsidRDefault="00211F6A" w:rsidP="008C4448">
            <w:pPr>
              <w:ind w:left="-5" w:firstLine="23"/>
              <w:jc w:val="center"/>
            </w:pPr>
            <w:r w:rsidRPr="00593E14">
              <w:rPr>
                <w:lang w:val="en-US"/>
              </w:rPr>
              <w:t>1,3</w:t>
            </w:r>
            <w:r w:rsidRPr="00593E14">
              <w:t>0</w:t>
            </w:r>
          </w:p>
        </w:tc>
      </w:tr>
      <w:tr w:rsidR="00211F6A" w:rsidRPr="00593E14" w14:paraId="3ADF2E3E" w14:textId="77777777" w:rsidTr="008C4448">
        <w:trPr>
          <w:trHeight w:val="766"/>
        </w:trPr>
        <w:tc>
          <w:tcPr>
            <w:tcW w:w="2850" w:type="dxa"/>
            <w:shd w:val="clear" w:color="auto" w:fill="auto"/>
          </w:tcPr>
          <w:p w14:paraId="5E052A91" w14:textId="77777777" w:rsidR="00211F6A" w:rsidRPr="00AD0593" w:rsidRDefault="00211F6A" w:rsidP="008C4448">
            <w:pPr>
              <w:ind w:left="-5" w:right="24" w:firstLine="23"/>
              <w:jc w:val="both"/>
              <w:rPr>
                <w:lang w:val="en-US"/>
              </w:rPr>
            </w:pPr>
            <w:r>
              <w:rPr>
                <w:lang w:val="en-US"/>
              </w:rPr>
              <w:t xml:space="preserve">Surface density (atoms per square </w:t>
            </w:r>
            <w:proofErr w:type="spellStart"/>
            <w:r>
              <w:rPr>
                <w:lang w:val="en-US"/>
              </w:rPr>
              <w:t>metre</w:t>
            </w:r>
            <w:proofErr w:type="spellEnd"/>
            <w:r>
              <w:rPr>
                <w:lang w:val="en-US"/>
              </w:rPr>
              <w:t xml:space="preserve"> of pore wall)</w:t>
            </w:r>
          </w:p>
        </w:tc>
        <w:tc>
          <w:tcPr>
            <w:tcW w:w="2548" w:type="dxa"/>
            <w:shd w:val="clear" w:color="auto" w:fill="auto"/>
            <w:vAlign w:val="center"/>
          </w:tcPr>
          <w:p w14:paraId="073EE31B" w14:textId="77777777" w:rsidR="00211F6A" w:rsidRPr="00593E14" w:rsidRDefault="00211F6A" w:rsidP="008C4448">
            <w:pPr>
              <w:ind w:left="-5" w:firstLine="23"/>
              <w:jc w:val="center"/>
            </w:pPr>
            <w:r w:rsidRPr="00593E14">
              <w:t>10</w:t>
            </w:r>
            <w:r w:rsidRPr="00593E14">
              <w:rPr>
                <w:vertAlign w:val="superscript"/>
              </w:rPr>
              <w:t>19</w:t>
            </w:r>
            <w:r>
              <w:t xml:space="preserve"> m</w:t>
            </w:r>
            <w:r w:rsidRPr="00593E14">
              <w:rPr>
                <w:rFonts w:eastAsia="Segoe UI Symbol"/>
                <w:vertAlign w:val="superscript"/>
              </w:rPr>
              <w:t>−</w:t>
            </w:r>
            <w:r w:rsidRPr="00593E14">
              <w:rPr>
                <w:vertAlign w:val="superscript"/>
              </w:rPr>
              <w:t>2</w:t>
            </w:r>
          </w:p>
        </w:tc>
        <w:tc>
          <w:tcPr>
            <w:tcW w:w="1831" w:type="dxa"/>
            <w:shd w:val="clear" w:color="auto" w:fill="auto"/>
            <w:vAlign w:val="center"/>
          </w:tcPr>
          <w:p w14:paraId="129B41E7" w14:textId="77777777" w:rsidR="00211F6A" w:rsidRPr="00593E14" w:rsidRDefault="00211F6A" w:rsidP="008C4448">
            <w:pPr>
              <w:ind w:left="-5" w:firstLine="23"/>
              <w:jc w:val="center"/>
            </w:pPr>
            <w:proofErr w:type="spellStart"/>
            <w:r w:rsidRPr="00593E14">
              <w:rPr>
                <w:i/>
              </w:rPr>
              <w:t>N</w:t>
            </w:r>
            <w:r w:rsidRPr="00593E14">
              <w:rPr>
                <w:vertAlign w:val="subscript"/>
              </w:rPr>
              <w:t>s</w:t>
            </w:r>
            <w:proofErr w:type="spellEnd"/>
          </w:p>
        </w:tc>
        <w:tc>
          <w:tcPr>
            <w:tcW w:w="2284" w:type="dxa"/>
            <w:shd w:val="clear" w:color="auto" w:fill="auto"/>
            <w:vAlign w:val="center"/>
          </w:tcPr>
          <w:p w14:paraId="693BEC25" w14:textId="77777777" w:rsidR="00211F6A" w:rsidRPr="00593E14" w:rsidRDefault="00211F6A" w:rsidP="008C4448">
            <w:pPr>
              <w:ind w:left="-5" w:firstLine="23"/>
              <w:jc w:val="center"/>
            </w:pPr>
            <w:r w:rsidRPr="00593E14">
              <w:t>1,31</w:t>
            </w:r>
          </w:p>
        </w:tc>
      </w:tr>
      <w:tr w:rsidR="00211F6A" w:rsidRPr="00593E14" w14:paraId="0E69DB7A" w14:textId="77777777" w:rsidTr="008C4448">
        <w:trPr>
          <w:trHeight w:val="353"/>
        </w:trPr>
        <w:tc>
          <w:tcPr>
            <w:tcW w:w="2850" w:type="dxa"/>
            <w:shd w:val="clear" w:color="auto" w:fill="auto"/>
          </w:tcPr>
          <w:p w14:paraId="1EFDE275" w14:textId="77777777" w:rsidR="00211F6A" w:rsidRPr="00AD0593" w:rsidRDefault="00211F6A" w:rsidP="008C4448">
            <w:pPr>
              <w:ind w:left="-5" w:firstLine="23"/>
              <w:jc w:val="both"/>
              <w:rPr>
                <w:lang w:val="en-US"/>
              </w:rPr>
            </w:pPr>
            <w:proofErr w:type="spellStart"/>
            <w:r>
              <w:t>Diamet</w:t>
            </w:r>
            <w:r>
              <w:rPr>
                <w:lang w:val="en-US"/>
              </w:rPr>
              <w:t>er</w:t>
            </w:r>
            <w:proofErr w:type="spellEnd"/>
          </w:p>
        </w:tc>
        <w:tc>
          <w:tcPr>
            <w:tcW w:w="2548" w:type="dxa"/>
            <w:shd w:val="clear" w:color="auto" w:fill="auto"/>
          </w:tcPr>
          <w:p w14:paraId="0CE5657E" w14:textId="77777777" w:rsidR="00211F6A" w:rsidRPr="00593E14" w:rsidRDefault="00211F6A" w:rsidP="008C4448">
            <w:pPr>
              <w:ind w:left="-5" w:firstLine="23"/>
              <w:jc w:val="center"/>
            </w:pPr>
            <w:proofErr w:type="spellStart"/>
            <w:r>
              <w:t>nm</w:t>
            </w:r>
            <w:proofErr w:type="spellEnd"/>
          </w:p>
        </w:tc>
        <w:tc>
          <w:tcPr>
            <w:tcW w:w="1831" w:type="dxa"/>
            <w:shd w:val="clear" w:color="auto" w:fill="auto"/>
          </w:tcPr>
          <w:p w14:paraId="57735515" w14:textId="77777777" w:rsidR="00211F6A" w:rsidRPr="00593E14" w:rsidRDefault="00211F6A" w:rsidP="008C4448">
            <w:pPr>
              <w:ind w:left="-5" w:firstLine="23"/>
              <w:jc w:val="center"/>
            </w:pPr>
            <w:proofErr w:type="spellStart"/>
            <w:r w:rsidRPr="00593E14">
              <w:rPr>
                <w:i/>
              </w:rPr>
              <w:t>d</w:t>
            </w:r>
            <w:r w:rsidRPr="00593E14">
              <w:t>s</w:t>
            </w:r>
            <w:proofErr w:type="spellEnd"/>
          </w:p>
        </w:tc>
        <w:tc>
          <w:tcPr>
            <w:tcW w:w="2284" w:type="dxa"/>
            <w:shd w:val="clear" w:color="auto" w:fill="auto"/>
          </w:tcPr>
          <w:p w14:paraId="7E93FD50" w14:textId="77777777" w:rsidR="00211F6A" w:rsidRPr="00593E14" w:rsidRDefault="00211F6A" w:rsidP="008C4448">
            <w:pPr>
              <w:ind w:left="-5" w:firstLine="23"/>
              <w:jc w:val="center"/>
            </w:pPr>
            <w:r w:rsidRPr="00593E14">
              <w:t>0,28</w:t>
            </w:r>
          </w:p>
        </w:tc>
      </w:tr>
    </w:tbl>
    <w:p w14:paraId="0E15A314" w14:textId="77777777" w:rsidR="00211F6A" w:rsidRDefault="00211F6A" w:rsidP="00211F6A">
      <w:pPr>
        <w:jc w:val="both"/>
        <w:rPr>
          <w:lang w:val="en-US"/>
        </w:rPr>
      </w:pPr>
    </w:p>
    <w:p w14:paraId="6F1DDBE1" w14:textId="445D1F22" w:rsidR="00211F6A" w:rsidRDefault="00211F6A" w:rsidP="00211F6A">
      <w:pPr>
        <w:jc w:val="both"/>
        <w:rPr>
          <w:lang w:val="en-US"/>
        </w:rPr>
      </w:pPr>
      <w:r w:rsidRPr="00211F6A">
        <w:rPr>
          <w:b/>
          <w:bCs/>
          <w:lang w:val="en-US"/>
        </w:rPr>
        <w:t>Table 5</w:t>
      </w:r>
      <w:r w:rsidRPr="007C6D0E">
        <w:rPr>
          <w:lang w:val="en-US"/>
        </w:rPr>
        <w:t xml:space="preserve"> — Parameters of adsorbate - argon</w:t>
      </w:r>
    </w:p>
    <w:tbl>
      <w:tblPr>
        <w:tblW w:w="95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91" w:type="dxa"/>
          <w:left w:w="0" w:type="dxa"/>
          <w:right w:w="79" w:type="dxa"/>
        </w:tblCellMar>
        <w:tblLook w:val="04A0" w:firstRow="1" w:lastRow="0" w:firstColumn="1" w:lastColumn="0" w:noHBand="0" w:noVBand="1"/>
      </w:tblPr>
      <w:tblGrid>
        <w:gridCol w:w="2850"/>
        <w:gridCol w:w="2552"/>
        <w:gridCol w:w="1831"/>
        <w:gridCol w:w="2280"/>
      </w:tblGrid>
      <w:tr w:rsidR="00211F6A" w:rsidRPr="00535205" w14:paraId="023ED86B" w14:textId="77777777" w:rsidTr="008C4448">
        <w:trPr>
          <w:trHeight w:val="360"/>
        </w:trPr>
        <w:tc>
          <w:tcPr>
            <w:tcW w:w="2850" w:type="dxa"/>
            <w:shd w:val="clear" w:color="auto" w:fill="auto"/>
          </w:tcPr>
          <w:p w14:paraId="6789279E" w14:textId="77777777" w:rsidR="00211F6A" w:rsidRPr="00535205" w:rsidRDefault="00211F6A" w:rsidP="008C4448">
            <w:pPr>
              <w:ind w:left="-6" w:firstLine="20"/>
              <w:jc w:val="center"/>
            </w:pPr>
            <w:proofErr w:type="spellStart"/>
            <w:r>
              <w:t>Physical</w:t>
            </w:r>
            <w:proofErr w:type="spellEnd"/>
            <w:r>
              <w:t xml:space="preserve"> </w:t>
            </w:r>
            <w:proofErr w:type="spellStart"/>
            <w:r>
              <w:t>quantity</w:t>
            </w:r>
            <w:proofErr w:type="spellEnd"/>
          </w:p>
        </w:tc>
        <w:tc>
          <w:tcPr>
            <w:tcW w:w="2552" w:type="dxa"/>
            <w:shd w:val="clear" w:color="auto" w:fill="auto"/>
          </w:tcPr>
          <w:p w14:paraId="13C1D35C" w14:textId="77777777" w:rsidR="00211F6A" w:rsidRPr="00535205" w:rsidRDefault="00211F6A" w:rsidP="008C4448">
            <w:pPr>
              <w:ind w:left="-6" w:firstLine="20"/>
              <w:jc w:val="center"/>
            </w:pPr>
            <w:r>
              <w:rPr>
                <w:lang w:val="en-US"/>
              </w:rPr>
              <w:t>Unit</w:t>
            </w:r>
          </w:p>
        </w:tc>
        <w:tc>
          <w:tcPr>
            <w:tcW w:w="1831" w:type="dxa"/>
            <w:shd w:val="clear" w:color="auto" w:fill="auto"/>
          </w:tcPr>
          <w:p w14:paraId="0DD626AC" w14:textId="77777777" w:rsidR="00211F6A" w:rsidRPr="00535205" w:rsidRDefault="00211F6A" w:rsidP="008C4448">
            <w:pPr>
              <w:ind w:left="-6" w:firstLine="20"/>
              <w:jc w:val="center"/>
            </w:pPr>
            <w:proofErr w:type="spellStart"/>
            <w:r>
              <w:t>Symbol</w:t>
            </w:r>
            <w:proofErr w:type="spellEnd"/>
          </w:p>
        </w:tc>
        <w:tc>
          <w:tcPr>
            <w:tcW w:w="2280" w:type="dxa"/>
            <w:shd w:val="clear" w:color="auto" w:fill="auto"/>
          </w:tcPr>
          <w:p w14:paraId="6B965B70" w14:textId="77777777" w:rsidR="00211F6A" w:rsidRPr="00535205" w:rsidRDefault="00211F6A" w:rsidP="008C4448">
            <w:pPr>
              <w:ind w:left="-6" w:firstLine="5"/>
              <w:jc w:val="center"/>
            </w:pPr>
            <w:proofErr w:type="spellStart"/>
            <w:r>
              <w:t>Argon</w:t>
            </w:r>
            <w:proofErr w:type="spellEnd"/>
          </w:p>
        </w:tc>
      </w:tr>
      <w:tr w:rsidR="00211F6A" w:rsidRPr="00593E14" w14:paraId="7F8BC299" w14:textId="77777777" w:rsidTr="008C4448">
        <w:trPr>
          <w:trHeight w:val="497"/>
        </w:trPr>
        <w:tc>
          <w:tcPr>
            <w:tcW w:w="2850" w:type="dxa"/>
            <w:shd w:val="clear" w:color="auto" w:fill="auto"/>
          </w:tcPr>
          <w:p w14:paraId="400136BF" w14:textId="77777777" w:rsidR="00211F6A" w:rsidRPr="00593E14" w:rsidRDefault="00211F6A" w:rsidP="008C4448">
            <w:pPr>
              <w:ind w:left="-5" w:firstLine="5"/>
              <w:jc w:val="both"/>
              <w:rPr>
                <w:lang w:val="en-US"/>
              </w:rPr>
            </w:pPr>
            <w:proofErr w:type="spellStart"/>
            <w:r>
              <w:t>Polar</w:t>
            </w:r>
            <w:r>
              <w:rPr>
                <w:lang w:val="en-US"/>
              </w:rPr>
              <w:t>izability</w:t>
            </w:r>
            <w:proofErr w:type="spellEnd"/>
          </w:p>
        </w:tc>
        <w:tc>
          <w:tcPr>
            <w:tcW w:w="2552" w:type="dxa"/>
            <w:shd w:val="clear" w:color="auto" w:fill="auto"/>
          </w:tcPr>
          <w:p w14:paraId="099E07DF" w14:textId="77777777" w:rsidR="00211F6A" w:rsidRPr="00593E14" w:rsidRDefault="00211F6A" w:rsidP="008C4448">
            <w:pPr>
              <w:ind w:left="-5" w:firstLine="5"/>
              <w:jc w:val="center"/>
            </w:pPr>
            <w:r w:rsidRPr="00593E14">
              <w:rPr>
                <w:lang w:val="en-US"/>
              </w:rPr>
              <w:t>10</w:t>
            </w:r>
            <w:r w:rsidRPr="00593E14">
              <w:rPr>
                <w:rFonts w:eastAsia="Segoe UI Symbol"/>
                <w:vertAlign w:val="superscript"/>
                <w:lang w:val="en-US"/>
              </w:rPr>
              <w:t>−</w:t>
            </w:r>
            <w:r w:rsidRPr="00593E14">
              <w:rPr>
                <w:vertAlign w:val="superscript"/>
                <w:lang w:val="en-US"/>
              </w:rPr>
              <w:t>24</w:t>
            </w:r>
            <w:r w:rsidRPr="00593E14">
              <w:rPr>
                <w:lang w:val="en-US"/>
              </w:rPr>
              <w:t xml:space="preserve"> </w:t>
            </w:r>
            <w:proofErr w:type="spellStart"/>
            <w:r>
              <w:t>cm</w:t>
            </w:r>
            <w:proofErr w:type="spellEnd"/>
            <w:r w:rsidRPr="00593E14">
              <w:rPr>
                <w:vertAlign w:val="superscript"/>
                <w:lang w:val="en-US"/>
              </w:rPr>
              <w:t>3</w:t>
            </w:r>
          </w:p>
        </w:tc>
        <w:tc>
          <w:tcPr>
            <w:tcW w:w="1831" w:type="dxa"/>
            <w:shd w:val="clear" w:color="auto" w:fill="auto"/>
          </w:tcPr>
          <w:p w14:paraId="0EA0AF43" w14:textId="77777777" w:rsidR="00211F6A" w:rsidRPr="00593E14" w:rsidRDefault="003C73EF" w:rsidP="008C4448">
            <w:pPr>
              <w:ind w:left="-5" w:firstLine="5"/>
              <w:jc w:val="center"/>
            </w:pPr>
            <w:r w:rsidRPr="00593E14">
              <w:rPr>
                <w:noProof/>
                <w:position w:val="-16"/>
              </w:rPr>
              <w:object w:dxaOrig="520" w:dyaOrig="420" w14:anchorId="0EC6F7AC">
                <v:shape id="_x0000_i1042" type="#_x0000_t75" alt="" style="width:18.75pt;height:15.75pt;mso-width-percent:0;mso-height-percent:0;mso-width-percent:0;mso-height-percent:0" o:ole="" filled="t">
                  <v:imagedata r:id="rId55" o:title=""/>
                </v:shape>
                <o:OLEObject Type="Embed" ProgID="Equation.DSMT4" ShapeID="_x0000_i1042" DrawAspect="Content" ObjectID="_1654582184" r:id="rId59"/>
              </w:object>
            </w:r>
          </w:p>
        </w:tc>
        <w:tc>
          <w:tcPr>
            <w:tcW w:w="2280" w:type="dxa"/>
            <w:shd w:val="clear" w:color="auto" w:fill="auto"/>
          </w:tcPr>
          <w:p w14:paraId="45704820" w14:textId="77777777" w:rsidR="00211F6A" w:rsidRPr="00593E14" w:rsidRDefault="00211F6A" w:rsidP="008C4448">
            <w:pPr>
              <w:ind w:left="-5" w:firstLine="5"/>
              <w:jc w:val="center"/>
            </w:pPr>
            <w:r w:rsidRPr="00593E14">
              <w:t>1,63</w:t>
            </w:r>
          </w:p>
        </w:tc>
      </w:tr>
      <w:tr w:rsidR="00211F6A" w:rsidRPr="00593E14" w14:paraId="7BEEFAF0" w14:textId="77777777" w:rsidTr="008C4448">
        <w:trPr>
          <w:trHeight w:val="192"/>
        </w:trPr>
        <w:tc>
          <w:tcPr>
            <w:tcW w:w="2850" w:type="dxa"/>
            <w:shd w:val="clear" w:color="auto" w:fill="auto"/>
          </w:tcPr>
          <w:p w14:paraId="2FB552A8" w14:textId="77777777" w:rsidR="00211F6A" w:rsidRPr="00593E14" w:rsidRDefault="00211F6A" w:rsidP="008C4448">
            <w:pPr>
              <w:ind w:left="-5" w:firstLine="5"/>
              <w:jc w:val="both"/>
            </w:pPr>
            <w:proofErr w:type="spellStart"/>
            <w:r>
              <w:t>Magnetic</w:t>
            </w:r>
            <w:proofErr w:type="spellEnd"/>
            <w:r>
              <w:t xml:space="preserve"> </w:t>
            </w:r>
            <w:proofErr w:type="spellStart"/>
            <w:r>
              <w:t>susceptibility</w:t>
            </w:r>
            <w:proofErr w:type="spellEnd"/>
          </w:p>
        </w:tc>
        <w:tc>
          <w:tcPr>
            <w:tcW w:w="2552" w:type="dxa"/>
            <w:shd w:val="clear" w:color="auto" w:fill="auto"/>
          </w:tcPr>
          <w:p w14:paraId="5A30C03C" w14:textId="77777777" w:rsidR="00211F6A" w:rsidRPr="00593E14" w:rsidRDefault="00211F6A" w:rsidP="008C4448">
            <w:pPr>
              <w:ind w:left="-5" w:firstLine="5"/>
              <w:jc w:val="center"/>
            </w:pPr>
            <w:r w:rsidRPr="00593E14">
              <w:rPr>
                <w:lang w:val="en-US"/>
              </w:rPr>
              <w:t>10</w:t>
            </w:r>
            <w:r w:rsidRPr="00593E14">
              <w:rPr>
                <w:rFonts w:eastAsia="Segoe UI Symbol"/>
                <w:vertAlign w:val="superscript"/>
                <w:lang w:val="en-US"/>
              </w:rPr>
              <w:t>−</w:t>
            </w:r>
            <w:r w:rsidRPr="00593E14">
              <w:rPr>
                <w:vertAlign w:val="superscript"/>
                <w:lang w:val="en-US"/>
              </w:rPr>
              <w:t>29</w:t>
            </w:r>
            <w:r w:rsidRPr="00593E14">
              <w:rPr>
                <w:lang w:val="en-US"/>
              </w:rPr>
              <w:t xml:space="preserve"> </w:t>
            </w:r>
            <w:proofErr w:type="spellStart"/>
            <w:r>
              <w:t>cm</w:t>
            </w:r>
            <w:proofErr w:type="spellEnd"/>
            <w:r w:rsidRPr="00593E14">
              <w:rPr>
                <w:vertAlign w:val="superscript"/>
                <w:lang w:val="en-US"/>
              </w:rPr>
              <w:t>3</w:t>
            </w:r>
          </w:p>
        </w:tc>
        <w:tc>
          <w:tcPr>
            <w:tcW w:w="1831" w:type="dxa"/>
            <w:shd w:val="clear" w:color="auto" w:fill="auto"/>
          </w:tcPr>
          <w:p w14:paraId="1B4BA965" w14:textId="77777777" w:rsidR="00211F6A" w:rsidRPr="00593E14" w:rsidRDefault="003C73EF" w:rsidP="008C4448">
            <w:pPr>
              <w:ind w:left="-5" w:firstLine="5"/>
              <w:jc w:val="center"/>
            </w:pPr>
            <w:r w:rsidRPr="00593E14">
              <w:rPr>
                <w:noProof/>
                <w:position w:val="-12"/>
              </w:rPr>
              <w:object w:dxaOrig="320" w:dyaOrig="380" w14:anchorId="02184812">
                <v:shape id="_x0000_i1043" type="#_x0000_t75" alt="" style="width:12pt;height:14.25pt;mso-width-percent:0;mso-height-percent:0;mso-width-percent:0;mso-height-percent:0" o:ole="" filled="t">
                  <v:imagedata r:id="rId57" o:title=""/>
                </v:shape>
                <o:OLEObject Type="Embed" ProgID="Equation.DSMT4" ShapeID="_x0000_i1043" DrawAspect="Content" ObjectID="_1654582185" r:id="rId60"/>
              </w:object>
            </w:r>
          </w:p>
        </w:tc>
        <w:tc>
          <w:tcPr>
            <w:tcW w:w="2280" w:type="dxa"/>
            <w:shd w:val="clear" w:color="auto" w:fill="auto"/>
          </w:tcPr>
          <w:p w14:paraId="40AE5B3D" w14:textId="77777777" w:rsidR="00211F6A" w:rsidRPr="00593E14" w:rsidRDefault="00211F6A" w:rsidP="008C4448">
            <w:pPr>
              <w:ind w:left="-5" w:firstLine="5"/>
              <w:jc w:val="center"/>
            </w:pPr>
            <w:r w:rsidRPr="00593E14">
              <w:t>3,2</w:t>
            </w:r>
            <w:r>
              <w:t>5</w:t>
            </w:r>
          </w:p>
        </w:tc>
      </w:tr>
      <w:tr w:rsidR="00211F6A" w:rsidRPr="00593E14" w14:paraId="583E51C1" w14:textId="77777777" w:rsidTr="008C4448">
        <w:trPr>
          <w:trHeight w:val="544"/>
        </w:trPr>
        <w:tc>
          <w:tcPr>
            <w:tcW w:w="2850" w:type="dxa"/>
            <w:shd w:val="clear" w:color="auto" w:fill="auto"/>
          </w:tcPr>
          <w:p w14:paraId="1A1DC9D8" w14:textId="77777777" w:rsidR="00211F6A" w:rsidRPr="007C6D0E" w:rsidRDefault="00211F6A" w:rsidP="008C4448">
            <w:pPr>
              <w:ind w:left="-5" w:right="24" w:firstLine="5"/>
              <w:jc w:val="both"/>
              <w:rPr>
                <w:lang w:val="en-US"/>
              </w:rPr>
            </w:pPr>
            <w:r>
              <w:rPr>
                <w:lang w:val="en-US"/>
              </w:rPr>
              <w:t xml:space="preserve">Surface density (atoms per square </w:t>
            </w:r>
            <w:proofErr w:type="spellStart"/>
            <w:r>
              <w:rPr>
                <w:lang w:val="en-US"/>
              </w:rPr>
              <w:t>metre</w:t>
            </w:r>
            <w:proofErr w:type="spellEnd"/>
            <w:r>
              <w:rPr>
                <w:lang w:val="en-US"/>
              </w:rPr>
              <w:t xml:space="preserve"> of pore wall)</w:t>
            </w:r>
          </w:p>
        </w:tc>
        <w:tc>
          <w:tcPr>
            <w:tcW w:w="2552" w:type="dxa"/>
            <w:shd w:val="clear" w:color="auto" w:fill="auto"/>
            <w:vAlign w:val="center"/>
          </w:tcPr>
          <w:p w14:paraId="03D5124E" w14:textId="77777777" w:rsidR="00211F6A" w:rsidRPr="00593E14" w:rsidRDefault="00211F6A" w:rsidP="008C4448">
            <w:pPr>
              <w:ind w:left="-5" w:firstLine="5"/>
              <w:jc w:val="center"/>
            </w:pPr>
            <w:r w:rsidRPr="00593E14">
              <w:t>10</w:t>
            </w:r>
            <w:r w:rsidRPr="00593E14">
              <w:rPr>
                <w:vertAlign w:val="superscript"/>
              </w:rPr>
              <w:t>18</w:t>
            </w:r>
            <w:r>
              <w:t xml:space="preserve"> m</w:t>
            </w:r>
            <w:r w:rsidRPr="00593E14">
              <w:rPr>
                <w:rFonts w:eastAsia="Segoe UI Symbol"/>
                <w:vertAlign w:val="superscript"/>
              </w:rPr>
              <w:t>−</w:t>
            </w:r>
            <w:r w:rsidRPr="00593E14">
              <w:rPr>
                <w:vertAlign w:val="superscript"/>
              </w:rPr>
              <w:t>2</w:t>
            </w:r>
          </w:p>
        </w:tc>
        <w:tc>
          <w:tcPr>
            <w:tcW w:w="1831" w:type="dxa"/>
            <w:shd w:val="clear" w:color="auto" w:fill="auto"/>
            <w:vAlign w:val="center"/>
          </w:tcPr>
          <w:p w14:paraId="202BDB9B" w14:textId="77777777" w:rsidR="00211F6A" w:rsidRPr="00593E14" w:rsidRDefault="00211F6A" w:rsidP="008C4448">
            <w:pPr>
              <w:ind w:left="-5" w:firstLine="5"/>
              <w:jc w:val="center"/>
            </w:pPr>
            <w:proofErr w:type="spellStart"/>
            <w:r w:rsidRPr="00593E14">
              <w:rPr>
                <w:i/>
              </w:rPr>
              <w:t>N</w:t>
            </w:r>
            <w:r w:rsidRPr="00593E14">
              <w:rPr>
                <w:vertAlign w:val="subscript"/>
              </w:rPr>
              <w:t>a</w:t>
            </w:r>
            <w:proofErr w:type="spellEnd"/>
          </w:p>
        </w:tc>
        <w:tc>
          <w:tcPr>
            <w:tcW w:w="2280" w:type="dxa"/>
            <w:shd w:val="clear" w:color="auto" w:fill="auto"/>
            <w:vAlign w:val="center"/>
          </w:tcPr>
          <w:p w14:paraId="4D9495A9" w14:textId="77777777" w:rsidR="00211F6A" w:rsidRPr="00420F95" w:rsidRDefault="00211F6A" w:rsidP="008C4448">
            <w:pPr>
              <w:ind w:left="-5" w:firstLine="5"/>
              <w:jc w:val="center"/>
              <w:rPr>
                <w:lang w:val="en-US"/>
              </w:rPr>
            </w:pPr>
            <w:r>
              <w:t>8,</w:t>
            </w:r>
            <w:r>
              <w:rPr>
                <w:lang w:val="en-US"/>
              </w:rPr>
              <w:t>85</w:t>
            </w:r>
          </w:p>
        </w:tc>
      </w:tr>
      <w:tr w:rsidR="00211F6A" w:rsidRPr="00593E14" w14:paraId="040CBB29" w14:textId="77777777" w:rsidTr="008C4448">
        <w:trPr>
          <w:trHeight w:val="353"/>
        </w:trPr>
        <w:tc>
          <w:tcPr>
            <w:tcW w:w="2850" w:type="dxa"/>
            <w:shd w:val="clear" w:color="auto" w:fill="auto"/>
          </w:tcPr>
          <w:p w14:paraId="69D33F63" w14:textId="77777777" w:rsidR="00211F6A" w:rsidRPr="00593E14" w:rsidRDefault="00211F6A" w:rsidP="008C4448">
            <w:pPr>
              <w:ind w:left="-5" w:firstLine="5"/>
              <w:jc w:val="both"/>
            </w:pPr>
            <w:proofErr w:type="spellStart"/>
            <w:r>
              <w:t>Diamet</w:t>
            </w:r>
            <w:r>
              <w:rPr>
                <w:lang w:val="en-US"/>
              </w:rPr>
              <w:t>er</w:t>
            </w:r>
            <w:proofErr w:type="spellEnd"/>
          </w:p>
        </w:tc>
        <w:tc>
          <w:tcPr>
            <w:tcW w:w="2552" w:type="dxa"/>
            <w:shd w:val="clear" w:color="auto" w:fill="auto"/>
          </w:tcPr>
          <w:p w14:paraId="6833B6D8" w14:textId="77777777" w:rsidR="00211F6A" w:rsidRPr="00593E14" w:rsidRDefault="00211F6A" w:rsidP="008C4448">
            <w:pPr>
              <w:ind w:left="-5" w:firstLine="5"/>
              <w:jc w:val="center"/>
            </w:pPr>
            <w:proofErr w:type="spellStart"/>
            <w:r>
              <w:t>nm</w:t>
            </w:r>
            <w:proofErr w:type="spellEnd"/>
          </w:p>
        </w:tc>
        <w:tc>
          <w:tcPr>
            <w:tcW w:w="1831" w:type="dxa"/>
            <w:shd w:val="clear" w:color="auto" w:fill="auto"/>
          </w:tcPr>
          <w:p w14:paraId="22FA5C4E" w14:textId="77777777" w:rsidR="00211F6A" w:rsidRPr="00593E14" w:rsidRDefault="00211F6A" w:rsidP="008C4448">
            <w:pPr>
              <w:ind w:left="-5" w:firstLine="5"/>
              <w:jc w:val="center"/>
            </w:pPr>
            <w:proofErr w:type="spellStart"/>
            <w:r w:rsidRPr="00593E14">
              <w:rPr>
                <w:i/>
              </w:rPr>
              <w:t>d</w:t>
            </w:r>
            <w:r w:rsidRPr="00593E14">
              <w:t>s</w:t>
            </w:r>
            <w:proofErr w:type="spellEnd"/>
          </w:p>
        </w:tc>
        <w:tc>
          <w:tcPr>
            <w:tcW w:w="2280" w:type="dxa"/>
            <w:shd w:val="clear" w:color="auto" w:fill="auto"/>
          </w:tcPr>
          <w:p w14:paraId="79B3DC06" w14:textId="77777777" w:rsidR="00211F6A" w:rsidRPr="00593E14" w:rsidRDefault="00211F6A" w:rsidP="008C4448">
            <w:pPr>
              <w:ind w:left="-5" w:firstLine="5"/>
              <w:jc w:val="center"/>
            </w:pPr>
            <w:r w:rsidRPr="00593E14">
              <w:t>0,34</w:t>
            </w:r>
          </w:p>
        </w:tc>
      </w:tr>
    </w:tbl>
    <w:p w14:paraId="7774B370" w14:textId="77777777" w:rsidR="00211F6A" w:rsidRDefault="00211F6A" w:rsidP="00211F6A">
      <w:pPr>
        <w:jc w:val="both"/>
        <w:rPr>
          <w:lang w:val="en-US"/>
        </w:rPr>
      </w:pPr>
    </w:p>
    <w:p w14:paraId="5314BB95" w14:textId="77777777" w:rsidR="00211F6A" w:rsidRPr="006A3B9A" w:rsidRDefault="00211F6A" w:rsidP="00211F6A">
      <w:pPr>
        <w:jc w:val="both"/>
        <w:rPr>
          <w:lang w:val="en-US"/>
        </w:rPr>
      </w:pPr>
    </w:p>
    <w:p w14:paraId="7E14E9BC" w14:textId="77777777" w:rsidR="00B92B91" w:rsidRPr="00694176" w:rsidRDefault="00B92B91" w:rsidP="003F6599">
      <w:pPr>
        <w:rPr>
          <w:b/>
          <w:bCs/>
          <w:lang w:val="en-US"/>
        </w:rPr>
      </w:pPr>
    </w:p>
    <w:p w14:paraId="0357C5BD" w14:textId="77777777" w:rsidR="006E3327" w:rsidRDefault="006E3327" w:rsidP="003F6599">
      <w:pPr>
        <w:rPr>
          <w:b/>
          <w:bCs/>
          <w:lang w:val="en-GB"/>
        </w:rPr>
      </w:pPr>
      <w:r>
        <w:rPr>
          <w:b/>
          <w:bCs/>
          <w:lang w:val="en-GB"/>
        </w:rPr>
        <w:t>6. Planned time schedule</w:t>
      </w:r>
    </w:p>
    <w:p w14:paraId="5949A1A0" w14:textId="01D4EF72" w:rsidR="006E3327" w:rsidRDefault="006E3327" w:rsidP="003F6599">
      <w:pPr>
        <w:autoSpaceDE w:val="0"/>
        <w:autoSpaceDN w:val="0"/>
        <w:adjustRightInd w:val="0"/>
        <w:rPr>
          <w:szCs w:val="20"/>
          <w:lang w:val="en-GB"/>
        </w:rPr>
      </w:pPr>
      <w:r>
        <w:rPr>
          <w:szCs w:val="20"/>
          <w:lang w:val="en-GB"/>
        </w:rPr>
        <w:t>call for participants:</w:t>
      </w:r>
      <w:r>
        <w:rPr>
          <w:szCs w:val="20"/>
          <w:lang w:val="en-GB"/>
        </w:rPr>
        <w:tab/>
      </w:r>
      <w:r>
        <w:rPr>
          <w:szCs w:val="20"/>
          <w:lang w:val="en-GB"/>
        </w:rPr>
        <w:tab/>
      </w:r>
      <w:r>
        <w:rPr>
          <w:szCs w:val="20"/>
          <w:lang w:val="en-GB"/>
        </w:rPr>
        <w:tab/>
      </w:r>
      <w:r>
        <w:rPr>
          <w:szCs w:val="20"/>
          <w:lang w:val="en-GB"/>
        </w:rPr>
        <w:tab/>
        <w:t xml:space="preserve">by end of </w:t>
      </w:r>
      <w:r w:rsidR="00211F6A">
        <w:rPr>
          <w:szCs w:val="20"/>
          <w:lang w:val="en-GB"/>
        </w:rPr>
        <w:t>September</w:t>
      </w:r>
      <w:r w:rsidR="00AD50FC">
        <w:rPr>
          <w:szCs w:val="20"/>
          <w:lang w:val="en-GB"/>
        </w:rPr>
        <w:t xml:space="preserve"> </w:t>
      </w:r>
      <w:r w:rsidR="00C803DB">
        <w:rPr>
          <w:szCs w:val="20"/>
          <w:lang w:val="en-GB"/>
        </w:rPr>
        <w:t>20</w:t>
      </w:r>
      <w:r w:rsidR="00211F6A">
        <w:rPr>
          <w:szCs w:val="20"/>
          <w:lang w:val="en-GB"/>
        </w:rPr>
        <w:t>20</w:t>
      </w:r>
    </w:p>
    <w:p w14:paraId="78CA5947" w14:textId="7DB6135A" w:rsidR="006E3327" w:rsidRDefault="006E3327" w:rsidP="003F6599">
      <w:pPr>
        <w:autoSpaceDE w:val="0"/>
        <w:autoSpaceDN w:val="0"/>
        <w:adjustRightInd w:val="0"/>
        <w:rPr>
          <w:szCs w:val="20"/>
          <w:lang w:val="en-GB"/>
        </w:rPr>
      </w:pPr>
      <w:r>
        <w:rPr>
          <w:szCs w:val="20"/>
          <w:lang w:val="en-GB"/>
        </w:rPr>
        <w:t>latest registration of participant:</w:t>
      </w:r>
      <w:r>
        <w:rPr>
          <w:szCs w:val="20"/>
          <w:lang w:val="en-GB"/>
        </w:rPr>
        <w:tab/>
      </w:r>
      <w:r>
        <w:rPr>
          <w:szCs w:val="20"/>
          <w:lang w:val="en-GB"/>
        </w:rPr>
        <w:tab/>
        <w:t xml:space="preserve">by end of </w:t>
      </w:r>
      <w:bookmarkStart w:id="36" w:name="OLE_LINK8"/>
      <w:bookmarkStart w:id="37" w:name="OLE_LINK9"/>
      <w:r w:rsidR="00211F6A">
        <w:rPr>
          <w:szCs w:val="20"/>
          <w:lang w:val="en-GB"/>
        </w:rPr>
        <w:t>October</w:t>
      </w:r>
      <w:r w:rsidR="00C803DB">
        <w:rPr>
          <w:szCs w:val="20"/>
          <w:lang w:val="en-GB"/>
        </w:rPr>
        <w:t xml:space="preserve"> </w:t>
      </w:r>
      <w:r>
        <w:rPr>
          <w:szCs w:val="20"/>
          <w:lang w:val="en-GB"/>
        </w:rPr>
        <w:t>20</w:t>
      </w:r>
      <w:r w:rsidR="00211F6A">
        <w:rPr>
          <w:szCs w:val="20"/>
          <w:lang w:val="en-GB"/>
        </w:rPr>
        <w:t>20</w:t>
      </w:r>
      <w:r>
        <w:rPr>
          <w:szCs w:val="20"/>
          <w:lang w:val="en-GB"/>
        </w:rPr>
        <w:t xml:space="preserve"> </w:t>
      </w:r>
      <w:bookmarkEnd w:id="36"/>
      <w:bookmarkEnd w:id="37"/>
      <w:r>
        <w:rPr>
          <w:szCs w:val="20"/>
          <w:lang w:val="en-GB"/>
        </w:rPr>
        <w:t>(</w:t>
      </w:r>
      <w:bookmarkStart w:id="38" w:name="OLE_LINK7"/>
      <w:r>
        <w:rPr>
          <w:szCs w:val="20"/>
          <w:lang w:val="en-GB"/>
        </w:rPr>
        <w:t>updated</w:t>
      </w:r>
      <w:bookmarkEnd w:id="38"/>
      <w:r>
        <w:rPr>
          <w:szCs w:val="20"/>
          <w:lang w:val="en-GB"/>
        </w:rPr>
        <w:t>)</w:t>
      </w:r>
    </w:p>
    <w:p w14:paraId="05CFF70D" w14:textId="5476F55E" w:rsidR="006E3327" w:rsidRDefault="006E3327" w:rsidP="003F6599">
      <w:pPr>
        <w:autoSpaceDE w:val="0"/>
        <w:autoSpaceDN w:val="0"/>
        <w:adjustRightInd w:val="0"/>
        <w:rPr>
          <w:szCs w:val="20"/>
          <w:lang w:val="en-GB"/>
        </w:rPr>
      </w:pPr>
      <w:r>
        <w:rPr>
          <w:szCs w:val="20"/>
          <w:lang w:val="en-GB"/>
        </w:rPr>
        <w:t>latest arrival of samples at participants:</w:t>
      </w:r>
      <w:r>
        <w:rPr>
          <w:szCs w:val="20"/>
          <w:lang w:val="en-GB"/>
        </w:rPr>
        <w:tab/>
        <w:t xml:space="preserve">by end of </w:t>
      </w:r>
      <w:r w:rsidR="00211F6A">
        <w:rPr>
          <w:szCs w:val="20"/>
          <w:lang w:val="en-GB"/>
        </w:rPr>
        <w:t>Decem</w:t>
      </w:r>
      <w:r>
        <w:rPr>
          <w:szCs w:val="20"/>
          <w:lang w:val="en-GB"/>
        </w:rPr>
        <w:t>ber 20</w:t>
      </w:r>
      <w:r w:rsidR="00211F6A">
        <w:rPr>
          <w:szCs w:val="20"/>
          <w:lang w:val="en-GB"/>
        </w:rPr>
        <w:t>20</w:t>
      </w:r>
    </w:p>
    <w:p w14:paraId="164563C0" w14:textId="225EE2F5" w:rsidR="006E3327" w:rsidRDefault="006E3327" w:rsidP="003F6599">
      <w:pPr>
        <w:autoSpaceDE w:val="0"/>
        <w:autoSpaceDN w:val="0"/>
        <w:adjustRightInd w:val="0"/>
        <w:rPr>
          <w:szCs w:val="20"/>
          <w:lang w:val="en-GB"/>
        </w:rPr>
      </w:pPr>
      <w:r>
        <w:rPr>
          <w:szCs w:val="20"/>
          <w:lang w:val="en-GB"/>
        </w:rPr>
        <w:t>latest report of results:</w:t>
      </w:r>
      <w:r>
        <w:rPr>
          <w:szCs w:val="20"/>
          <w:lang w:val="en-GB"/>
        </w:rPr>
        <w:tab/>
      </w:r>
      <w:r>
        <w:rPr>
          <w:szCs w:val="20"/>
          <w:lang w:val="en-GB"/>
        </w:rPr>
        <w:tab/>
      </w:r>
      <w:r>
        <w:rPr>
          <w:szCs w:val="20"/>
          <w:lang w:val="en-GB"/>
        </w:rPr>
        <w:tab/>
        <w:t>by end of Februar</w:t>
      </w:r>
      <w:r w:rsidR="00211F6A">
        <w:rPr>
          <w:szCs w:val="20"/>
          <w:lang w:val="en-GB"/>
        </w:rPr>
        <w:t>y</w:t>
      </w:r>
      <w:r>
        <w:rPr>
          <w:szCs w:val="20"/>
          <w:lang w:val="en-GB"/>
        </w:rPr>
        <w:t xml:space="preserve"> 20</w:t>
      </w:r>
      <w:r w:rsidR="00211F6A">
        <w:rPr>
          <w:szCs w:val="20"/>
          <w:lang w:val="en-GB"/>
        </w:rPr>
        <w:t>21</w:t>
      </w:r>
    </w:p>
    <w:p w14:paraId="7F106ECC" w14:textId="3780E46B" w:rsidR="006E3327" w:rsidRDefault="006E3327" w:rsidP="003F6599">
      <w:pPr>
        <w:autoSpaceDE w:val="0"/>
        <w:autoSpaceDN w:val="0"/>
        <w:adjustRightInd w:val="0"/>
        <w:rPr>
          <w:szCs w:val="20"/>
          <w:lang w:val="en-GB"/>
        </w:rPr>
      </w:pPr>
      <w:r>
        <w:rPr>
          <w:szCs w:val="20"/>
          <w:lang w:val="en-GB"/>
        </w:rPr>
        <w:t>report A:</w:t>
      </w:r>
      <w:r>
        <w:rPr>
          <w:szCs w:val="20"/>
          <w:lang w:val="en-GB"/>
        </w:rPr>
        <w:tab/>
      </w:r>
      <w:r>
        <w:rPr>
          <w:szCs w:val="20"/>
          <w:lang w:val="en-GB"/>
        </w:rPr>
        <w:tab/>
      </w:r>
      <w:r>
        <w:rPr>
          <w:szCs w:val="20"/>
          <w:lang w:val="en-GB"/>
        </w:rPr>
        <w:tab/>
      </w:r>
      <w:r>
        <w:rPr>
          <w:szCs w:val="20"/>
          <w:lang w:val="en-GB"/>
        </w:rPr>
        <w:tab/>
      </w:r>
      <w:r>
        <w:rPr>
          <w:szCs w:val="20"/>
          <w:lang w:val="en-GB"/>
        </w:rPr>
        <w:tab/>
        <w:t xml:space="preserve">by end of </w:t>
      </w:r>
      <w:r w:rsidR="00211F6A">
        <w:rPr>
          <w:szCs w:val="20"/>
          <w:lang w:val="en-US"/>
        </w:rPr>
        <w:t>July</w:t>
      </w:r>
      <w:r>
        <w:rPr>
          <w:szCs w:val="20"/>
          <w:lang w:val="en-GB"/>
        </w:rPr>
        <w:t xml:space="preserve"> 20</w:t>
      </w:r>
      <w:r w:rsidR="00211F6A">
        <w:rPr>
          <w:szCs w:val="20"/>
          <w:lang w:val="en-GB"/>
        </w:rPr>
        <w:t>21</w:t>
      </w:r>
    </w:p>
    <w:p w14:paraId="34779533" w14:textId="01EA801C" w:rsidR="006E3327" w:rsidRDefault="006E3327" w:rsidP="003F6599">
      <w:pPr>
        <w:autoSpaceDE w:val="0"/>
        <w:autoSpaceDN w:val="0"/>
        <w:adjustRightInd w:val="0"/>
        <w:rPr>
          <w:szCs w:val="20"/>
          <w:lang w:val="en-GB"/>
        </w:rPr>
      </w:pPr>
      <w:r>
        <w:rPr>
          <w:szCs w:val="20"/>
          <w:lang w:val="en-GB"/>
        </w:rPr>
        <w:t>report B:</w:t>
      </w:r>
      <w:r>
        <w:rPr>
          <w:szCs w:val="20"/>
          <w:lang w:val="en-GB"/>
        </w:rPr>
        <w:tab/>
      </w:r>
      <w:r>
        <w:rPr>
          <w:szCs w:val="20"/>
          <w:lang w:val="en-GB"/>
        </w:rPr>
        <w:tab/>
      </w:r>
      <w:r>
        <w:rPr>
          <w:szCs w:val="20"/>
          <w:lang w:val="en-GB"/>
        </w:rPr>
        <w:tab/>
      </w:r>
      <w:r>
        <w:rPr>
          <w:szCs w:val="20"/>
          <w:lang w:val="en-GB"/>
        </w:rPr>
        <w:tab/>
      </w:r>
      <w:r>
        <w:rPr>
          <w:szCs w:val="20"/>
          <w:lang w:val="en-GB"/>
        </w:rPr>
        <w:tab/>
        <w:t xml:space="preserve">by end of </w:t>
      </w:r>
      <w:r w:rsidR="00211F6A">
        <w:rPr>
          <w:szCs w:val="20"/>
          <w:lang w:val="en-GB"/>
        </w:rPr>
        <w:t>September</w:t>
      </w:r>
      <w:r>
        <w:rPr>
          <w:szCs w:val="20"/>
          <w:lang w:val="en-GB"/>
        </w:rPr>
        <w:t xml:space="preserve"> 20</w:t>
      </w:r>
      <w:r w:rsidR="00211F6A">
        <w:rPr>
          <w:szCs w:val="20"/>
          <w:lang w:val="en-GB"/>
        </w:rPr>
        <w:t>21</w:t>
      </w:r>
    </w:p>
    <w:p w14:paraId="6AA3A090" w14:textId="77777777" w:rsidR="006E3327" w:rsidRDefault="006E3327" w:rsidP="003F6599">
      <w:pPr>
        <w:autoSpaceDE w:val="0"/>
        <w:autoSpaceDN w:val="0"/>
        <w:adjustRightInd w:val="0"/>
        <w:rPr>
          <w:szCs w:val="20"/>
          <w:lang w:val="en-GB"/>
        </w:rPr>
      </w:pPr>
    </w:p>
    <w:p w14:paraId="2253A8C1" w14:textId="77777777" w:rsidR="006E3327" w:rsidRDefault="006E3327" w:rsidP="001A02F9">
      <w:pPr>
        <w:rPr>
          <w:b/>
          <w:bCs/>
          <w:lang w:val="en-GB"/>
        </w:rPr>
      </w:pPr>
      <w:r>
        <w:rPr>
          <w:b/>
          <w:bCs/>
          <w:lang w:val="en-GB"/>
        </w:rPr>
        <w:t>7. Samples</w:t>
      </w:r>
    </w:p>
    <w:p w14:paraId="7E7DB1ED" w14:textId="43805A1E" w:rsidR="00EE40AE" w:rsidRDefault="00EE40AE" w:rsidP="001A02F9">
      <w:pPr>
        <w:ind w:firstLine="720"/>
        <w:rPr>
          <w:lang w:val="en-US"/>
        </w:rPr>
      </w:pPr>
      <w:r>
        <w:rPr>
          <w:lang w:val="en-US"/>
        </w:rPr>
        <w:t xml:space="preserve">A bottle is </w:t>
      </w:r>
      <w:r w:rsidR="007D110F">
        <w:rPr>
          <w:lang w:val="en-US"/>
        </w:rPr>
        <w:t>planned</w:t>
      </w:r>
      <w:r>
        <w:rPr>
          <w:lang w:val="en-US"/>
        </w:rPr>
        <w:t xml:space="preserve"> to contain about </w:t>
      </w:r>
      <w:r w:rsidR="00211F6A">
        <w:rPr>
          <w:lang w:val="en-US"/>
        </w:rPr>
        <w:t>4</w:t>
      </w:r>
      <w:r w:rsidR="00D01039" w:rsidRPr="00B92B91">
        <w:rPr>
          <w:lang w:val="en-US"/>
        </w:rPr>
        <w:t xml:space="preserve"> </w:t>
      </w:r>
      <w:r>
        <w:rPr>
          <w:lang w:val="en-US"/>
        </w:rPr>
        <w:t xml:space="preserve">g of </w:t>
      </w:r>
      <w:r w:rsidR="00211F6A">
        <w:rPr>
          <w:lang w:val="en-US"/>
        </w:rPr>
        <w:t>zeolite</w:t>
      </w:r>
      <w:r>
        <w:rPr>
          <w:lang w:val="en-US"/>
        </w:rPr>
        <w:t xml:space="preserve">.  </w:t>
      </w:r>
    </w:p>
    <w:p w14:paraId="371FCBAE" w14:textId="77777777" w:rsidR="00B17E06" w:rsidRDefault="00B17E06" w:rsidP="001A02F9">
      <w:pPr>
        <w:jc w:val="both"/>
        <w:rPr>
          <w:b/>
          <w:bCs/>
          <w:lang w:val="en-GB"/>
        </w:rPr>
      </w:pPr>
    </w:p>
    <w:p w14:paraId="59D5B258" w14:textId="77777777" w:rsidR="006E3327" w:rsidRDefault="006E3327" w:rsidP="002C644B">
      <w:pPr>
        <w:jc w:val="both"/>
        <w:rPr>
          <w:b/>
          <w:bCs/>
          <w:lang w:val="en-GB"/>
        </w:rPr>
      </w:pPr>
      <w:r>
        <w:rPr>
          <w:b/>
          <w:bCs/>
          <w:lang w:val="en-GB"/>
        </w:rPr>
        <w:t>8. Pilot laboratory</w:t>
      </w:r>
    </w:p>
    <w:p w14:paraId="7627B587" w14:textId="77777777" w:rsidR="00345259" w:rsidRDefault="00345259" w:rsidP="002C644B">
      <w:pPr>
        <w:ind w:firstLine="708"/>
        <w:jc w:val="both"/>
        <w:rPr>
          <w:bCs/>
          <w:lang w:val="en-US"/>
        </w:rPr>
      </w:pPr>
      <w:r w:rsidRPr="00345259">
        <w:rPr>
          <w:bCs/>
          <w:lang w:val="en-US"/>
        </w:rPr>
        <w:t xml:space="preserve">Laboratory for metrological assurance of </w:t>
      </w:r>
      <w:proofErr w:type="spellStart"/>
      <w:r w:rsidRPr="00345259">
        <w:rPr>
          <w:bCs/>
          <w:lang w:val="en-US"/>
        </w:rPr>
        <w:t>nanoindustrie</w:t>
      </w:r>
      <w:proofErr w:type="spellEnd"/>
      <w:r w:rsidRPr="00345259">
        <w:rPr>
          <w:bCs/>
          <w:lang w:val="en-US"/>
        </w:rPr>
        <w:t>, analysis of spectral methods and reference materials (251)</w:t>
      </w:r>
    </w:p>
    <w:p w14:paraId="6C6BFAE5" w14:textId="77777777" w:rsidR="006E3327" w:rsidRPr="00DD2452" w:rsidRDefault="006E3327" w:rsidP="002C644B">
      <w:pPr>
        <w:pStyle w:val="a5"/>
        <w:pBdr>
          <w:top w:val="none" w:sz="0" w:space="0" w:color="auto"/>
          <w:left w:val="none" w:sz="0" w:space="0" w:color="auto"/>
          <w:bottom w:val="none" w:sz="0" w:space="0" w:color="auto"/>
          <w:right w:val="none" w:sz="0" w:space="0" w:color="auto"/>
        </w:pBdr>
        <w:jc w:val="left"/>
        <w:rPr>
          <w:b w:val="0"/>
          <w:szCs w:val="24"/>
          <w:lang w:val="en-US"/>
        </w:rPr>
      </w:pPr>
      <w:r w:rsidRPr="00DD2452">
        <w:rPr>
          <w:szCs w:val="24"/>
          <w:lang w:val="en-US"/>
        </w:rPr>
        <w:t>NMI’s name and abbreviation</w:t>
      </w:r>
      <w:r>
        <w:rPr>
          <w:szCs w:val="24"/>
          <w:lang w:val="en-US"/>
        </w:rPr>
        <w:t xml:space="preserve"> </w:t>
      </w:r>
    </w:p>
    <w:p w14:paraId="058510F7" w14:textId="0E2BA5FA" w:rsidR="006E3327" w:rsidRPr="00DD2452" w:rsidRDefault="00CB47B7" w:rsidP="00CB47B7">
      <w:pPr>
        <w:ind w:firstLine="709"/>
        <w:jc w:val="both"/>
        <w:rPr>
          <w:lang w:val="en-US"/>
        </w:rPr>
      </w:pPr>
      <w:r w:rsidRPr="00CB47B7">
        <w:rPr>
          <w:lang w:val="en-US"/>
        </w:rPr>
        <w:t>UNIIM - Affiliated branch of the D.I. Mendeleyev</w:t>
      </w:r>
      <w:r>
        <w:rPr>
          <w:lang w:val="en-US"/>
        </w:rPr>
        <w:t xml:space="preserve"> </w:t>
      </w:r>
      <w:r w:rsidRPr="00CB47B7">
        <w:rPr>
          <w:lang w:val="en-US"/>
        </w:rPr>
        <w:t>Institute for Metrology</w:t>
      </w:r>
      <w:r w:rsidR="006E3327" w:rsidRPr="00DB5227">
        <w:rPr>
          <w:lang w:val="en-US"/>
        </w:rPr>
        <w:t>, ROSSTANDART, Ekaterinburg (</w:t>
      </w:r>
      <w:r>
        <w:rPr>
          <w:lang w:val="en-US"/>
        </w:rPr>
        <w:t>VNIIM-</w:t>
      </w:r>
      <w:r w:rsidR="006E3327" w:rsidRPr="00DB5227">
        <w:rPr>
          <w:lang w:val="en-US"/>
        </w:rPr>
        <w:t>UNIIM)</w:t>
      </w:r>
    </w:p>
    <w:p w14:paraId="5CE88B40" w14:textId="77777777" w:rsidR="006E3327" w:rsidRPr="00DD2452" w:rsidRDefault="006E3327" w:rsidP="002C644B">
      <w:pPr>
        <w:rPr>
          <w:b/>
          <w:bCs/>
          <w:lang w:val="en-US"/>
        </w:rPr>
      </w:pPr>
      <w:r w:rsidRPr="00DD2452">
        <w:rPr>
          <w:b/>
          <w:bCs/>
          <w:lang w:val="en-US"/>
        </w:rPr>
        <w:t xml:space="preserve">The postal address: </w:t>
      </w:r>
      <w:r w:rsidRPr="00DD2452">
        <w:rPr>
          <w:lang w:val="en-US"/>
        </w:rPr>
        <w:t xml:space="preserve">4, </w:t>
      </w:r>
      <w:proofErr w:type="spellStart"/>
      <w:r w:rsidRPr="00DD2452">
        <w:rPr>
          <w:lang w:val="en-US"/>
        </w:rPr>
        <w:t>Krasnoarmeiskaya</w:t>
      </w:r>
      <w:proofErr w:type="spellEnd"/>
      <w:r w:rsidRPr="00DD2452">
        <w:rPr>
          <w:lang w:val="en-US"/>
        </w:rPr>
        <w:t xml:space="preserve"> St., Ekaterinburg, Russian Federation, 620000</w:t>
      </w:r>
    </w:p>
    <w:p w14:paraId="603306F1" w14:textId="77777777" w:rsidR="006E3327" w:rsidRPr="00DD2452" w:rsidRDefault="006E3327" w:rsidP="002C644B">
      <w:pPr>
        <w:jc w:val="both"/>
        <w:rPr>
          <w:b/>
          <w:lang w:val="en-US"/>
        </w:rPr>
      </w:pPr>
    </w:p>
    <w:p w14:paraId="209E2C96" w14:textId="77777777" w:rsidR="006E3327" w:rsidRPr="00DD2452" w:rsidRDefault="006E3327" w:rsidP="002C644B">
      <w:pPr>
        <w:jc w:val="both"/>
        <w:rPr>
          <w:b/>
          <w:bCs/>
          <w:color w:val="000000"/>
          <w:lang w:val="en-US"/>
        </w:rPr>
      </w:pPr>
      <w:r w:rsidRPr="00DD2452">
        <w:rPr>
          <w:b/>
          <w:lang w:val="en-US"/>
        </w:rPr>
        <w:t>Head of Laboratory 2</w:t>
      </w:r>
      <w:r w:rsidR="00345259">
        <w:rPr>
          <w:b/>
          <w:lang w:val="en-US"/>
        </w:rPr>
        <w:t>5</w:t>
      </w:r>
      <w:r w:rsidRPr="00DD2452">
        <w:rPr>
          <w:b/>
          <w:lang w:val="en-US"/>
        </w:rPr>
        <w:t xml:space="preserve">1, </w:t>
      </w:r>
      <w:proofErr w:type="spellStart"/>
      <w:r w:rsidR="00345259">
        <w:rPr>
          <w:rStyle w:val="a7"/>
          <w:b/>
          <w:bCs/>
          <w:i w:val="0"/>
          <w:lang w:val="en-US"/>
        </w:rPr>
        <w:t>Egor</w:t>
      </w:r>
      <w:proofErr w:type="spellEnd"/>
      <w:r w:rsidR="00345259">
        <w:rPr>
          <w:rStyle w:val="a7"/>
          <w:b/>
          <w:bCs/>
          <w:i w:val="0"/>
          <w:lang w:val="en-US"/>
        </w:rPr>
        <w:t xml:space="preserve"> </w:t>
      </w:r>
      <w:proofErr w:type="spellStart"/>
      <w:r w:rsidR="00345259">
        <w:rPr>
          <w:rStyle w:val="a7"/>
          <w:b/>
          <w:bCs/>
          <w:i w:val="0"/>
          <w:lang w:val="en-US"/>
        </w:rPr>
        <w:t>Sobina</w:t>
      </w:r>
      <w:proofErr w:type="spellEnd"/>
      <w:r w:rsidRPr="00DD2452">
        <w:rPr>
          <w:rStyle w:val="a7"/>
          <w:bCs/>
          <w:lang w:val="en-US"/>
        </w:rPr>
        <w:t xml:space="preserve"> </w:t>
      </w:r>
    </w:p>
    <w:p w14:paraId="6F213295" w14:textId="77777777" w:rsidR="006E3327" w:rsidRPr="00DD2452" w:rsidRDefault="006E3327" w:rsidP="002C644B">
      <w:pPr>
        <w:jc w:val="both"/>
        <w:rPr>
          <w:color w:val="000000"/>
          <w:lang w:val="en-US"/>
        </w:rPr>
      </w:pPr>
      <w:r w:rsidRPr="00DD2452">
        <w:rPr>
          <w:b/>
          <w:color w:val="000000"/>
          <w:lang w:val="en-US"/>
        </w:rPr>
        <w:t xml:space="preserve">Telephone / Fax </w:t>
      </w:r>
      <w:r w:rsidRPr="00DD2452">
        <w:rPr>
          <w:color w:val="000000"/>
          <w:lang w:val="en-US"/>
        </w:rPr>
        <w:t xml:space="preserve"> </w:t>
      </w:r>
      <w:r>
        <w:rPr>
          <w:color w:val="000000"/>
          <w:lang w:val="en-US"/>
        </w:rPr>
        <w:t xml:space="preserve">+7 </w:t>
      </w:r>
      <w:r w:rsidRPr="00DD2452">
        <w:rPr>
          <w:color w:val="000000"/>
          <w:lang w:val="en-US"/>
        </w:rPr>
        <w:t xml:space="preserve">(343) </w:t>
      </w:r>
      <w:r w:rsidR="00345259">
        <w:rPr>
          <w:color w:val="000000"/>
          <w:lang w:val="en-US"/>
        </w:rPr>
        <w:t>217-29-25</w:t>
      </w:r>
      <w:r w:rsidRPr="00DD2452">
        <w:rPr>
          <w:color w:val="000000"/>
          <w:lang w:val="en-US"/>
        </w:rPr>
        <w:t xml:space="preserve">, </w:t>
      </w:r>
      <w:r w:rsidR="00345259">
        <w:rPr>
          <w:color w:val="000000"/>
          <w:lang w:val="en-US"/>
        </w:rPr>
        <w:t>217-85-96</w:t>
      </w:r>
    </w:p>
    <w:p w14:paraId="679E71E4" w14:textId="77777777" w:rsidR="006E3327" w:rsidRPr="006B738A" w:rsidRDefault="006E3327" w:rsidP="002C644B">
      <w:pPr>
        <w:rPr>
          <w:b/>
          <w:lang w:val="en-US"/>
        </w:rPr>
      </w:pPr>
      <w:r w:rsidRPr="006B738A">
        <w:rPr>
          <w:b/>
          <w:color w:val="000000"/>
          <w:lang w:val="en-US"/>
        </w:rPr>
        <w:t>E-mail</w:t>
      </w:r>
      <w:r w:rsidRPr="006B738A">
        <w:rPr>
          <w:color w:val="000000"/>
          <w:lang w:val="en-US"/>
        </w:rPr>
        <w:t xml:space="preserve">: </w:t>
      </w:r>
      <w:hyperlink r:id="rId61" w:history="1">
        <w:r w:rsidR="00345259" w:rsidRPr="006B738A">
          <w:rPr>
            <w:rStyle w:val="a4"/>
            <w:lang w:val="en-US"/>
          </w:rPr>
          <w:t>251@uniim.ru</w:t>
        </w:r>
      </w:hyperlink>
      <w:r w:rsidR="00345259" w:rsidRPr="006B738A">
        <w:rPr>
          <w:lang w:val="en-US"/>
        </w:rPr>
        <w:t>, sobina_egor@uniim.ru</w:t>
      </w:r>
    </w:p>
    <w:p w14:paraId="44842A18" w14:textId="77777777" w:rsidR="002A6783" w:rsidRPr="006B738A" w:rsidRDefault="002A6783" w:rsidP="002C644B">
      <w:pPr>
        <w:jc w:val="both"/>
        <w:rPr>
          <w:b/>
          <w:bCs/>
          <w:lang w:val="en-US"/>
        </w:rPr>
      </w:pPr>
    </w:p>
    <w:p w14:paraId="5957644C" w14:textId="77777777" w:rsidR="006E3327" w:rsidRDefault="006E3327" w:rsidP="002C644B">
      <w:pPr>
        <w:jc w:val="both"/>
        <w:rPr>
          <w:b/>
          <w:bCs/>
          <w:lang w:val="en-GB"/>
        </w:rPr>
      </w:pPr>
      <w:r>
        <w:rPr>
          <w:b/>
          <w:bCs/>
          <w:lang w:val="en-GB"/>
        </w:rPr>
        <w:t>9</w:t>
      </w:r>
      <w:r w:rsidRPr="00A05C7D">
        <w:rPr>
          <w:b/>
          <w:bCs/>
          <w:lang w:val="en-GB"/>
        </w:rPr>
        <w:t>. References</w:t>
      </w:r>
    </w:p>
    <w:p w14:paraId="08AF9A5E" w14:textId="77777777" w:rsidR="006E3327" w:rsidRPr="00345259" w:rsidRDefault="006E3327" w:rsidP="002C644B">
      <w:pPr>
        <w:pStyle w:val="a3"/>
        <w:numPr>
          <w:ilvl w:val="0"/>
          <w:numId w:val="3"/>
        </w:numPr>
        <w:tabs>
          <w:tab w:val="clear" w:pos="900"/>
          <w:tab w:val="num" w:pos="0"/>
        </w:tabs>
        <w:spacing w:after="0" w:line="240" w:lineRule="auto"/>
        <w:ind w:left="0" w:firstLine="0"/>
        <w:jc w:val="both"/>
        <w:rPr>
          <w:rFonts w:ascii="Times New Roman" w:hAnsi="Times New Roman"/>
          <w:sz w:val="24"/>
          <w:szCs w:val="24"/>
          <w:lang w:val="en-US"/>
        </w:rPr>
      </w:pPr>
      <w:r w:rsidRPr="00345259">
        <w:rPr>
          <w:rFonts w:ascii="Times New Roman" w:hAnsi="Times New Roman"/>
          <w:sz w:val="24"/>
          <w:szCs w:val="24"/>
          <w:lang w:val="en-US"/>
        </w:rPr>
        <w:t xml:space="preserve">Cox M.G. The evaluation of key comparison data, </w:t>
      </w:r>
      <w:proofErr w:type="spellStart"/>
      <w:r w:rsidRPr="00345259">
        <w:rPr>
          <w:rFonts w:ascii="Times New Roman" w:hAnsi="Times New Roman"/>
          <w:sz w:val="24"/>
          <w:szCs w:val="24"/>
          <w:lang w:val="en-US"/>
        </w:rPr>
        <w:t>Metrologia</w:t>
      </w:r>
      <w:proofErr w:type="spellEnd"/>
      <w:r w:rsidRPr="00345259">
        <w:rPr>
          <w:rFonts w:ascii="Times New Roman" w:hAnsi="Times New Roman"/>
          <w:sz w:val="24"/>
          <w:szCs w:val="24"/>
          <w:lang w:val="en-US"/>
        </w:rPr>
        <w:t xml:space="preserve"> 39 (2002) 589-595</w:t>
      </w:r>
      <w:r w:rsidR="00AD0B1D" w:rsidRPr="00AD0B1D">
        <w:rPr>
          <w:rFonts w:ascii="Times New Roman" w:hAnsi="Times New Roman"/>
          <w:sz w:val="24"/>
          <w:szCs w:val="24"/>
          <w:lang w:val="en-US"/>
        </w:rPr>
        <w:t>.</w:t>
      </w:r>
    </w:p>
    <w:p w14:paraId="53C1CB0F" w14:textId="77777777" w:rsidR="00345259" w:rsidRPr="009C5DA0" w:rsidRDefault="006E3327" w:rsidP="009C5DA0">
      <w:pPr>
        <w:pStyle w:val="a3"/>
        <w:numPr>
          <w:ilvl w:val="0"/>
          <w:numId w:val="3"/>
        </w:numPr>
        <w:tabs>
          <w:tab w:val="clear" w:pos="900"/>
          <w:tab w:val="num" w:pos="0"/>
        </w:tabs>
        <w:spacing w:after="0" w:line="240" w:lineRule="auto"/>
        <w:ind w:left="0" w:firstLine="0"/>
        <w:jc w:val="both"/>
        <w:rPr>
          <w:rFonts w:ascii="Times New Roman" w:hAnsi="Times New Roman"/>
          <w:sz w:val="24"/>
          <w:szCs w:val="24"/>
          <w:lang w:val="en-US"/>
        </w:rPr>
      </w:pPr>
      <w:proofErr w:type="spellStart"/>
      <w:r w:rsidRPr="00345259">
        <w:rPr>
          <w:rFonts w:ascii="Times New Roman" w:hAnsi="Times New Roman"/>
          <w:sz w:val="24"/>
          <w:szCs w:val="24"/>
          <w:lang w:val="en-US"/>
        </w:rPr>
        <w:t>Jorg</w:t>
      </w:r>
      <w:proofErr w:type="spellEnd"/>
      <w:r w:rsidRPr="00345259">
        <w:rPr>
          <w:rFonts w:ascii="Times New Roman" w:hAnsi="Times New Roman"/>
          <w:sz w:val="24"/>
          <w:szCs w:val="24"/>
          <w:lang w:val="en-US"/>
        </w:rPr>
        <w:t xml:space="preserve"> </w:t>
      </w:r>
      <w:proofErr w:type="spellStart"/>
      <w:r w:rsidRPr="00345259">
        <w:rPr>
          <w:rFonts w:ascii="Times New Roman" w:hAnsi="Times New Roman"/>
          <w:sz w:val="24"/>
          <w:szCs w:val="24"/>
          <w:lang w:val="en-US"/>
        </w:rPr>
        <w:t>W.Muller</w:t>
      </w:r>
      <w:proofErr w:type="spellEnd"/>
      <w:r w:rsidRPr="00345259">
        <w:rPr>
          <w:rFonts w:ascii="Times New Roman" w:hAnsi="Times New Roman"/>
          <w:sz w:val="24"/>
          <w:szCs w:val="24"/>
          <w:lang w:val="en-US"/>
        </w:rPr>
        <w:t>. Possible Advantages of a Robust Evaluation of Comparisons, Journal of Research of the National Institute of Standards and Technology Vol.105, No.4 (2000) 551-555</w:t>
      </w:r>
      <w:r w:rsidR="00AD0B1D" w:rsidRPr="00AD0B1D">
        <w:rPr>
          <w:rFonts w:ascii="Times New Roman" w:hAnsi="Times New Roman"/>
          <w:sz w:val="24"/>
          <w:szCs w:val="24"/>
          <w:lang w:val="en-US"/>
        </w:rPr>
        <w:t>.</w:t>
      </w:r>
    </w:p>
    <w:p w14:paraId="4C97E028" w14:textId="7FDA5456" w:rsidR="00345259" w:rsidRPr="00345259" w:rsidRDefault="00345259" w:rsidP="002C644B">
      <w:pPr>
        <w:pStyle w:val="a3"/>
        <w:numPr>
          <w:ilvl w:val="0"/>
          <w:numId w:val="3"/>
        </w:numPr>
        <w:tabs>
          <w:tab w:val="num" w:pos="0"/>
        </w:tabs>
        <w:autoSpaceDE w:val="0"/>
        <w:autoSpaceDN w:val="0"/>
        <w:adjustRightInd w:val="0"/>
        <w:spacing w:after="0" w:line="240" w:lineRule="auto"/>
        <w:ind w:left="0" w:firstLine="0"/>
        <w:jc w:val="both"/>
        <w:rPr>
          <w:rFonts w:ascii="Times New Roman" w:hAnsi="Times New Roman"/>
          <w:sz w:val="24"/>
          <w:szCs w:val="24"/>
          <w:lang w:val="en-US"/>
        </w:rPr>
      </w:pPr>
      <w:r w:rsidRPr="00345259">
        <w:rPr>
          <w:rFonts w:ascii="Times New Roman" w:hAnsi="Times New Roman"/>
          <w:sz w:val="24"/>
          <w:szCs w:val="24"/>
          <w:lang w:val="en-US"/>
        </w:rPr>
        <w:t xml:space="preserve"> </w:t>
      </w:r>
      <w:bookmarkStart w:id="39" w:name="OLE_LINK136"/>
      <w:bookmarkStart w:id="40" w:name="OLE_LINK137"/>
      <w:bookmarkStart w:id="41" w:name="OLE_LINK138"/>
      <w:r w:rsidR="009919E6">
        <w:rPr>
          <w:rFonts w:ascii="Times New Roman" w:hAnsi="Times New Roman"/>
          <w:sz w:val="24"/>
          <w:szCs w:val="24"/>
          <w:lang w:val="en-US"/>
        </w:rPr>
        <w:t>I</w:t>
      </w:r>
      <w:r w:rsidRPr="00345259">
        <w:rPr>
          <w:rFonts w:ascii="Times New Roman" w:hAnsi="Times New Roman"/>
          <w:sz w:val="24"/>
          <w:szCs w:val="24"/>
          <w:lang w:val="en-US"/>
        </w:rPr>
        <w:t>SO 15901-</w:t>
      </w:r>
      <w:r w:rsidR="00211F6A">
        <w:rPr>
          <w:rFonts w:ascii="Times New Roman" w:hAnsi="Times New Roman"/>
          <w:sz w:val="24"/>
          <w:szCs w:val="24"/>
          <w:lang w:val="en-US"/>
        </w:rPr>
        <w:t>3</w:t>
      </w:r>
      <w:r w:rsidRPr="00345259">
        <w:rPr>
          <w:rFonts w:ascii="Times New Roman" w:hAnsi="Times New Roman"/>
          <w:sz w:val="24"/>
          <w:szCs w:val="24"/>
          <w:lang w:val="en-US"/>
        </w:rPr>
        <w:t xml:space="preserve"> </w:t>
      </w:r>
      <w:bookmarkEnd w:id="39"/>
      <w:bookmarkEnd w:id="40"/>
      <w:bookmarkEnd w:id="41"/>
      <w:r w:rsidRPr="00345259">
        <w:rPr>
          <w:rFonts w:ascii="Times New Roman" w:hAnsi="Times New Roman"/>
          <w:sz w:val="24"/>
          <w:szCs w:val="24"/>
          <w:lang w:val="en-US"/>
        </w:rPr>
        <w:t xml:space="preserve">Pore size distribution and porosity of solid materials by mercury </w:t>
      </w:r>
      <w:proofErr w:type="spellStart"/>
      <w:r w:rsidRPr="00345259">
        <w:rPr>
          <w:rFonts w:ascii="Times New Roman" w:hAnsi="Times New Roman"/>
          <w:sz w:val="24"/>
          <w:szCs w:val="24"/>
          <w:lang w:val="en-US"/>
        </w:rPr>
        <w:t>porosimetry</w:t>
      </w:r>
      <w:proofErr w:type="spellEnd"/>
      <w:r w:rsidRPr="00345259">
        <w:rPr>
          <w:rFonts w:ascii="Times New Roman" w:hAnsi="Times New Roman"/>
          <w:sz w:val="24"/>
          <w:szCs w:val="24"/>
          <w:lang w:val="en-US"/>
        </w:rPr>
        <w:t xml:space="preserve"> and gas adsorption – Part </w:t>
      </w:r>
      <w:r w:rsidR="00211F6A">
        <w:rPr>
          <w:rFonts w:ascii="Times New Roman" w:hAnsi="Times New Roman"/>
          <w:sz w:val="24"/>
          <w:szCs w:val="24"/>
          <w:lang w:val="en-US"/>
        </w:rPr>
        <w:t>3</w:t>
      </w:r>
      <w:r w:rsidRPr="00345259">
        <w:rPr>
          <w:rFonts w:ascii="Times New Roman" w:hAnsi="Times New Roman"/>
          <w:sz w:val="24"/>
          <w:szCs w:val="24"/>
          <w:lang w:val="en-US"/>
        </w:rPr>
        <w:t xml:space="preserve">: </w:t>
      </w:r>
      <w:r w:rsidR="00211F6A" w:rsidRPr="00211F6A">
        <w:rPr>
          <w:rFonts w:ascii="Times New Roman" w:hAnsi="Times New Roman"/>
          <w:sz w:val="24"/>
          <w:szCs w:val="24"/>
          <w:lang w:val="en-US"/>
        </w:rPr>
        <w:t>Analysis of micropores by gas adsorption</w:t>
      </w:r>
      <w:r w:rsidR="00AD0B1D" w:rsidRPr="00AD0B1D">
        <w:rPr>
          <w:rFonts w:ascii="Times New Roman" w:hAnsi="Times New Roman"/>
          <w:sz w:val="24"/>
          <w:szCs w:val="24"/>
          <w:lang w:val="en-US"/>
        </w:rPr>
        <w:t>.</w:t>
      </w:r>
      <w:r w:rsidR="00211F6A" w:rsidRPr="00211F6A">
        <w:rPr>
          <w:rFonts w:ascii="Times New Roman" w:hAnsi="Times New Roman"/>
          <w:sz w:val="24"/>
          <w:szCs w:val="24"/>
          <w:lang w:val="en-US"/>
        </w:rPr>
        <w:t xml:space="preserve"> </w:t>
      </w:r>
      <w:r w:rsidR="00211F6A" w:rsidRPr="00345259">
        <w:rPr>
          <w:rFonts w:ascii="Times New Roman" w:hAnsi="Times New Roman"/>
          <w:sz w:val="24"/>
          <w:szCs w:val="24"/>
          <w:lang w:val="en-US"/>
        </w:rPr>
        <w:t>Geneva (20</w:t>
      </w:r>
      <w:r w:rsidR="00211F6A">
        <w:rPr>
          <w:rFonts w:ascii="Times New Roman" w:hAnsi="Times New Roman"/>
          <w:sz w:val="24"/>
          <w:szCs w:val="24"/>
          <w:lang w:val="en-US"/>
        </w:rPr>
        <w:t>07</w:t>
      </w:r>
      <w:r w:rsidR="00211F6A" w:rsidRPr="00345259">
        <w:rPr>
          <w:rFonts w:ascii="Times New Roman" w:hAnsi="Times New Roman"/>
          <w:sz w:val="24"/>
          <w:szCs w:val="24"/>
          <w:lang w:val="en-US"/>
        </w:rPr>
        <w:t>)</w:t>
      </w:r>
      <w:r w:rsidR="00211F6A" w:rsidRPr="009C5DA0">
        <w:rPr>
          <w:rFonts w:ascii="Times New Roman" w:hAnsi="Times New Roman"/>
          <w:sz w:val="24"/>
          <w:szCs w:val="24"/>
          <w:lang w:val="en-US"/>
        </w:rPr>
        <w:t>.</w:t>
      </w:r>
    </w:p>
    <w:p w14:paraId="797F32F9" w14:textId="77777777" w:rsidR="009C5DA0" w:rsidRDefault="00345259" w:rsidP="002C644B">
      <w:pPr>
        <w:pStyle w:val="a3"/>
        <w:numPr>
          <w:ilvl w:val="0"/>
          <w:numId w:val="3"/>
        </w:numPr>
        <w:tabs>
          <w:tab w:val="num" w:pos="0"/>
        </w:tabs>
        <w:autoSpaceDE w:val="0"/>
        <w:autoSpaceDN w:val="0"/>
        <w:adjustRightInd w:val="0"/>
        <w:spacing w:after="0" w:line="240" w:lineRule="auto"/>
        <w:ind w:left="0" w:firstLine="0"/>
        <w:jc w:val="both"/>
        <w:rPr>
          <w:rFonts w:ascii="Times New Roman" w:hAnsi="Times New Roman"/>
          <w:sz w:val="24"/>
          <w:szCs w:val="24"/>
          <w:lang w:val="en-US"/>
        </w:rPr>
      </w:pPr>
      <w:bookmarkStart w:id="42" w:name="OLE_LINK139"/>
      <w:bookmarkStart w:id="43" w:name="OLE_LINK140"/>
      <w:bookmarkStart w:id="44" w:name="OLE_LINK141"/>
      <w:r w:rsidRPr="00345259">
        <w:rPr>
          <w:rFonts w:ascii="Times New Roman" w:hAnsi="Times New Roman"/>
          <w:sz w:val="24"/>
          <w:szCs w:val="24"/>
          <w:lang w:val="en-US"/>
        </w:rPr>
        <w:t xml:space="preserve">ISO 9277 </w:t>
      </w:r>
      <w:bookmarkEnd w:id="42"/>
      <w:bookmarkEnd w:id="43"/>
      <w:bookmarkEnd w:id="44"/>
      <w:r w:rsidRPr="00345259">
        <w:rPr>
          <w:rFonts w:ascii="Times New Roman" w:hAnsi="Times New Roman"/>
          <w:sz w:val="24"/>
          <w:szCs w:val="24"/>
          <w:lang w:val="en-US"/>
        </w:rPr>
        <w:t>Determination of the specific surface area of solids by gas adsorption – BET method. International Organization for Standardization, Geneva (2010)</w:t>
      </w:r>
      <w:r w:rsidR="00AD0B1D" w:rsidRPr="009C5DA0">
        <w:rPr>
          <w:rFonts w:ascii="Times New Roman" w:hAnsi="Times New Roman"/>
          <w:sz w:val="24"/>
          <w:szCs w:val="24"/>
          <w:lang w:val="en-US"/>
        </w:rPr>
        <w:t>.</w:t>
      </w:r>
      <w:r w:rsidR="009C5DA0" w:rsidRPr="009C5DA0">
        <w:rPr>
          <w:rFonts w:ascii="Times New Roman" w:hAnsi="Times New Roman"/>
          <w:sz w:val="24"/>
          <w:szCs w:val="24"/>
          <w:lang w:val="en-US"/>
        </w:rPr>
        <w:t xml:space="preserve"> </w:t>
      </w:r>
    </w:p>
    <w:p w14:paraId="1FD36F7F" w14:textId="77777777" w:rsidR="00345259" w:rsidRPr="00345259" w:rsidRDefault="009C5DA0" w:rsidP="002C644B">
      <w:pPr>
        <w:pStyle w:val="a3"/>
        <w:numPr>
          <w:ilvl w:val="0"/>
          <w:numId w:val="3"/>
        </w:numPr>
        <w:tabs>
          <w:tab w:val="num" w:pos="0"/>
        </w:tabs>
        <w:autoSpaceDE w:val="0"/>
        <w:autoSpaceDN w:val="0"/>
        <w:adjustRightInd w:val="0"/>
        <w:spacing w:after="0" w:line="240" w:lineRule="auto"/>
        <w:ind w:left="0" w:firstLine="0"/>
        <w:jc w:val="both"/>
        <w:rPr>
          <w:rFonts w:ascii="Times New Roman" w:hAnsi="Times New Roman"/>
          <w:sz w:val="24"/>
          <w:szCs w:val="24"/>
          <w:lang w:val="en-US"/>
        </w:rPr>
      </w:pPr>
      <w:r w:rsidRPr="00345259">
        <w:rPr>
          <w:rFonts w:ascii="Times New Roman" w:hAnsi="Times New Roman"/>
          <w:sz w:val="24"/>
          <w:szCs w:val="24"/>
          <w:lang w:val="en-US"/>
        </w:rPr>
        <w:t>Gregg, S. J., Sing, K. S. W., Adsorption, Surface Area and Porosity. Academic Press,</w:t>
      </w:r>
      <w:r w:rsidRPr="009C5DA0">
        <w:rPr>
          <w:rFonts w:ascii="Times New Roman" w:hAnsi="Times New Roman"/>
          <w:sz w:val="24"/>
          <w:szCs w:val="24"/>
          <w:lang w:val="en-US"/>
        </w:rPr>
        <w:t xml:space="preserve"> </w:t>
      </w:r>
      <w:r w:rsidRPr="00345259">
        <w:rPr>
          <w:rFonts w:ascii="Times New Roman" w:hAnsi="Times New Roman"/>
          <w:sz w:val="24"/>
          <w:szCs w:val="24"/>
          <w:lang w:val="en-US"/>
        </w:rPr>
        <w:t>London 1982</w:t>
      </w:r>
      <w:r>
        <w:rPr>
          <w:rFonts w:ascii="Times New Roman" w:hAnsi="Times New Roman"/>
          <w:sz w:val="24"/>
          <w:szCs w:val="24"/>
        </w:rPr>
        <w:t>.</w:t>
      </w:r>
    </w:p>
    <w:sectPr w:rsidR="00345259" w:rsidRPr="00345259" w:rsidSect="008360CA">
      <w:footerReference w:type="even" r:id="rId62"/>
      <w:footerReference w:type="default" r:id="rId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89F2F" w14:textId="77777777" w:rsidR="003C73EF" w:rsidRDefault="003C73EF">
      <w:r>
        <w:separator/>
      </w:r>
    </w:p>
  </w:endnote>
  <w:endnote w:type="continuationSeparator" w:id="0">
    <w:p w14:paraId="32E9519E" w14:textId="77777777" w:rsidR="003C73EF" w:rsidRDefault="003C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739D4" w14:textId="77777777" w:rsidR="00CC438C" w:rsidRDefault="007C7B13" w:rsidP="00317909">
    <w:pPr>
      <w:pStyle w:val="aa"/>
      <w:framePr w:wrap="around" w:vAnchor="text" w:hAnchor="margin" w:xAlign="right" w:y="1"/>
      <w:rPr>
        <w:rStyle w:val="ac"/>
      </w:rPr>
    </w:pPr>
    <w:r>
      <w:rPr>
        <w:rStyle w:val="ac"/>
      </w:rPr>
      <w:fldChar w:fldCharType="begin"/>
    </w:r>
    <w:r w:rsidR="00CC438C">
      <w:rPr>
        <w:rStyle w:val="ac"/>
      </w:rPr>
      <w:instrText xml:space="preserve">PAGE  </w:instrText>
    </w:r>
    <w:r>
      <w:rPr>
        <w:rStyle w:val="ac"/>
      </w:rPr>
      <w:fldChar w:fldCharType="end"/>
    </w:r>
  </w:p>
  <w:p w14:paraId="30423A15" w14:textId="77777777" w:rsidR="00CC438C" w:rsidRDefault="00CC438C" w:rsidP="001F3583">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7057151"/>
      <w:docPartObj>
        <w:docPartGallery w:val="Page Numbers (Bottom of Page)"/>
        <w:docPartUnique/>
      </w:docPartObj>
    </w:sdtPr>
    <w:sdtEndPr/>
    <w:sdtContent>
      <w:p w14:paraId="5A97D612" w14:textId="77777777" w:rsidR="00A75152" w:rsidRDefault="00A75152">
        <w:pPr>
          <w:pStyle w:val="aa"/>
          <w:jc w:val="right"/>
        </w:pPr>
        <w:r>
          <w:fldChar w:fldCharType="begin"/>
        </w:r>
        <w:r>
          <w:instrText>PAGE   \* MERGEFORMAT</w:instrText>
        </w:r>
        <w:r>
          <w:fldChar w:fldCharType="separate"/>
        </w:r>
        <w:r w:rsidR="002016B7">
          <w:rPr>
            <w:noProof/>
          </w:rPr>
          <w:t>3</w:t>
        </w:r>
        <w:r>
          <w:fldChar w:fldCharType="end"/>
        </w:r>
      </w:p>
    </w:sdtContent>
  </w:sdt>
  <w:p w14:paraId="0DFC59AB" w14:textId="77777777" w:rsidR="00CC438C" w:rsidRPr="001F3583" w:rsidRDefault="00CC438C" w:rsidP="001F3583">
    <w:pPr>
      <w:pStyle w:val="aa"/>
      <w:ind w:right="360"/>
      <w:jc w:val="right"/>
      <w:rPr>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E9F33" w14:textId="77777777" w:rsidR="003C73EF" w:rsidRDefault="003C73EF">
      <w:r>
        <w:separator/>
      </w:r>
    </w:p>
  </w:footnote>
  <w:footnote w:type="continuationSeparator" w:id="0">
    <w:p w14:paraId="7F131A37" w14:textId="77777777" w:rsidR="003C73EF" w:rsidRDefault="003C7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D7693"/>
    <w:multiLevelType w:val="hybridMultilevel"/>
    <w:tmpl w:val="11949750"/>
    <w:lvl w:ilvl="0" w:tplc="4F5E3718">
      <w:start w:val="4"/>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852435"/>
    <w:multiLevelType w:val="hybridMultilevel"/>
    <w:tmpl w:val="20F606EC"/>
    <w:lvl w:ilvl="0" w:tplc="04070001">
      <w:start w:val="6"/>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0E4B5F"/>
    <w:multiLevelType w:val="hybridMultilevel"/>
    <w:tmpl w:val="B7085498"/>
    <w:lvl w:ilvl="0" w:tplc="CC36B44E">
      <w:start w:val="2"/>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53081B5F"/>
    <w:multiLevelType w:val="hybridMultilevel"/>
    <w:tmpl w:val="946A2E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9047DF8"/>
    <w:multiLevelType w:val="hybridMultilevel"/>
    <w:tmpl w:val="EDA6B99C"/>
    <w:lvl w:ilvl="0" w:tplc="9A1A7570">
      <w:start w:val="1"/>
      <w:numFmt w:val="decimal"/>
      <w:lvlText w:val="%1."/>
      <w:lvlJc w:val="left"/>
      <w:pPr>
        <w:tabs>
          <w:tab w:val="num" w:pos="900"/>
        </w:tabs>
        <w:ind w:left="90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4635A34"/>
    <w:multiLevelType w:val="hybridMultilevel"/>
    <w:tmpl w:val="7A5A3D1E"/>
    <w:lvl w:ilvl="0" w:tplc="338E5AE2">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2A"/>
    <w:rsid w:val="000241A8"/>
    <w:rsid w:val="000507E9"/>
    <w:rsid w:val="00067B81"/>
    <w:rsid w:val="00067D33"/>
    <w:rsid w:val="000870AF"/>
    <w:rsid w:val="000B423A"/>
    <w:rsid w:val="000B6756"/>
    <w:rsid w:val="000D3ABB"/>
    <w:rsid w:val="000D5954"/>
    <w:rsid w:val="00180937"/>
    <w:rsid w:val="001A02F9"/>
    <w:rsid w:val="001B4010"/>
    <w:rsid w:val="001E0EF4"/>
    <w:rsid w:val="001F3583"/>
    <w:rsid w:val="00200F2C"/>
    <w:rsid w:val="002016B7"/>
    <w:rsid w:val="00211F6A"/>
    <w:rsid w:val="002404E4"/>
    <w:rsid w:val="002448A8"/>
    <w:rsid w:val="002A6783"/>
    <w:rsid w:val="002B032E"/>
    <w:rsid w:val="002C644B"/>
    <w:rsid w:val="00302558"/>
    <w:rsid w:val="00306A00"/>
    <w:rsid w:val="00317909"/>
    <w:rsid w:val="0032187B"/>
    <w:rsid w:val="00345259"/>
    <w:rsid w:val="0035349B"/>
    <w:rsid w:val="00356642"/>
    <w:rsid w:val="003B4455"/>
    <w:rsid w:val="003B6BF7"/>
    <w:rsid w:val="003C6954"/>
    <w:rsid w:val="003C73EF"/>
    <w:rsid w:val="003F6599"/>
    <w:rsid w:val="004246C2"/>
    <w:rsid w:val="004311D4"/>
    <w:rsid w:val="00434197"/>
    <w:rsid w:val="00447DDF"/>
    <w:rsid w:val="0050155F"/>
    <w:rsid w:val="005362A9"/>
    <w:rsid w:val="00586B64"/>
    <w:rsid w:val="005C32B5"/>
    <w:rsid w:val="005C6A1C"/>
    <w:rsid w:val="005E3BAF"/>
    <w:rsid w:val="005E3C63"/>
    <w:rsid w:val="005E45B9"/>
    <w:rsid w:val="005F5062"/>
    <w:rsid w:val="00605373"/>
    <w:rsid w:val="006146CB"/>
    <w:rsid w:val="0061672A"/>
    <w:rsid w:val="0062631C"/>
    <w:rsid w:val="00655C31"/>
    <w:rsid w:val="00673AD7"/>
    <w:rsid w:val="00683FEB"/>
    <w:rsid w:val="00694176"/>
    <w:rsid w:val="006A2F5F"/>
    <w:rsid w:val="006B738A"/>
    <w:rsid w:val="006D49CD"/>
    <w:rsid w:val="006E3327"/>
    <w:rsid w:val="006F4DBD"/>
    <w:rsid w:val="00707CB1"/>
    <w:rsid w:val="00765610"/>
    <w:rsid w:val="007B042C"/>
    <w:rsid w:val="007C7B13"/>
    <w:rsid w:val="007D110F"/>
    <w:rsid w:val="008272A1"/>
    <w:rsid w:val="008309EC"/>
    <w:rsid w:val="008360CA"/>
    <w:rsid w:val="00872567"/>
    <w:rsid w:val="00895F2A"/>
    <w:rsid w:val="008A5A66"/>
    <w:rsid w:val="008B2C3E"/>
    <w:rsid w:val="008C6B79"/>
    <w:rsid w:val="008C6ECC"/>
    <w:rsid w:val="00951530"/>
    <w:rsid w:val="0096026F"/>
    <w:rsid w:val="00984408"/>
    <w:rsid w:val="009919E6"/>
    <w:rsid w:val="009B1751"/>
    <w:rsid w:val="009C033F"/>
    <w:rsid w:val="009C5DA0"/>
    <w:rsid w:val="009D10D5"/>
    <w:rsid w:val="00A05C7D"/>
    <w:rsid w:val="00A438D9"/>
    <w:rsid w:val="00A456C7"/>
    <w:rsid w:val="00A75152"/>
    <w:rsid w:val="00A97868"/>
    <w:rsid w:val="00AD0B1D"/>
    <w:rsid w:val="00AD50FC"/>
    <w:rsid w:val="00AF76DB"/>
    <w:rsid w:val="00B17E06"/>
    <w:rsid w:val="00B217B7"/>
    <w:rsid w:val="00B34BEA"/>
    <w:rsid w:val="00B629C8"/>
    <w:rsid w:val="00B72AC7"/>
    <w:rsid w:val="00B92B91"/>
    <w:rsid w:val="00BA4E31"/>
    <w:rsid w:val="00BB3A17"/>
    <w:rsid w:val="00C3470E"/>
    <w:rsid w:val="00C41625"/>
    <w:rsid w:val="00C42B3B"/>
    <w:rsid w:val="00C56FE3"/>
    <w:rsid w:val="00C61316"/>
    <w:rsid w:val="00C803DB"/>
    <w:rsid w:val="00CA1995"/>
    <w:rsid w:val="00CA2E38"/>
    <w:rsid w:val="00CB47B7"/>
    <w:rsid w:val="00CB72AA"/>
    <w:rsid w:val="00CC438C"/>
    <w:rsid w:val="00D01039"/>
    <w:rsid w:val="00D36593"/>
    <w:rsid w:val="00D523B2"/>
    <w:rsid w:val="00D765D7"/>
    <w:rsid w:val="00DA0C5D"/>
    <w:rsid w:val="00DB5227"/>
    <w:rsid w:val="00DB78FD"/>
    <w:rsid w:val="00DD2452"/>
    <w:rsid w:val="00E04330"/>
    <w:rsid w:val="00E208B3"/>
    <w:rsid w:val="00E22C1B"/>
    <w:rsid w:val="00E55E8E"/>
    <w:rsid w:val="00E77DDC"/>
    <w:rsid w:val="00E82449"/>
    <w:rsid w:val="00EC3E75"/>
    <w:rsid w:val="00EE40AE"/>
    <w:rsid w:val="00F0041F"/>
    <w:rsid w:val="00F31514"/>
    <w:rsid w:val="00F74B6A"/>
    <w:rsid w:val="00F759C3"/>
    <w:rsid w:val="00F84D8F"/>
    <w:rsid w:val="00FC4282"/>
    <w:rsid w:val="00FC59D8"/>
    <w:rsid w:val="00FF5B5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v:textbox inset="5.85pt,.7pt,5.85pt,.7pt"/>
    </o:shapedefaults>
    <o:shapelayout v:ext="edit">
      <o:idmap v:ext="edit" data="1"/>
    </o:shapelayout>
  </w:shapeDefaults>
  <w:decimalSymbol w:val=","/>
  <w:listSeparator w:val=";"/>
  <w14:docId w14:val="6A05AE29"/>
  <w15:docId w15:val="{97060F1B-E80F-4982-ADEB-C7A8E429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DA0"/>
    <w:rPr>
      <w:rFonts w:ascii="Times New Roman" w:eastAsia="Times New Roman" w:hAnsi="Times New Roman"/>
      <w:sz w:val="24"/>
      <w:szCs w:val="24"/>
    </w:rPr>
  </w:style>
  <w:style w:type="paragraph" w:styleId="1">
    <w:name w:val="heading 1"/>
    <w:basedOn w:val="a"/>
    <w:next w:val="a"/>
    <w:link w:val="10"/>
    <w:uiPriority w:val="99"/>
    <w:qFormat/>
    <w:rsid w:val="00B34BEA"/>
    <w:pPr>
      <w:keepNext/>
      <w:jc w:val="center"/>
      <w:outlineLvl w:val="0"/>
    </w:pPr>
    <w:rPr>
      <w:b/>
      <w:bCs/>
      <w:lang w:val="en-GB"/>
    </w:rPr>
  </w:style>
  <w:style w:type="paragraph" w:styleId="2">
    <w:name w:val="heading 2"/>
    <w:basedOn w:val="a"/>
    <w:next w:val="a"/>
    <w:link w:val="20"/>
    <w:uiPriority w:val="99"/>
    <w:qFormat/>
    <w:rsid w:val="001A02F9"/>
    <w:pPr>
      <w:keepNext/>
      <w:keepLines/>
      <w:spacing w:before="40"/>
      <w:outlineLvl w:val="1"/>
    </w:pPr>
    <w:rPr>
      <w:rFonts w:ascii="Calibri Light"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34BEA"/>
    <w:rPr>
      <w:rFonts w:ascii="Times New Roman" w:hAnsi="Times New Roman" w:cs="Times New Roman"/>
      <w:b/>
      <w:bCs/>
      <w:sz w:val="24"/>
      <w:szCs w:val="24"/>
      <w:lang w:val="en-GB" w:eastAsia="de-DE"/>
    </w:rPr>
  </w:style>
  <w:style w:type="character" w:customStyle="1" w:styleId="20">
    <w:name w:val="Заголовок 2 Знак"/>
    <w:basedOn w:val="a0"/>
    <w:link w:val="2"/>
    <w:uiPriority w:val="99"/>
    <w:semiHidden/>
    <w:locked/>
    <w:rsid w:val="001A02F9"/>
    <w:rPr>
      <w:rFonts w:ascii="Calibri Light" w:hAnsi="Calibri Light" w:cs="Times New Roman"/>
      <w:color w:val="2E74B5"/>
      <w:sz w:val="26"/>
      <w:szCs w:val="26"/>
      <w:lang w:val="de-DE" w:eastAsia="de-DE"/>
    </w:rPr>
  </w:style>
  <w:style w:type="paragraph" w:styleId="a3">
    <w:name w:val="List Paragraph"/>
    <w:basedOn w:val="a"/>
    <w:uiPriority w:val="99"/>
    <w:qFormat/>
    <w:rsid w:val="00C56FE3"/>
    <w:pPr>
      <w:spacing w:after="160" w:line="259" w:lineRule="auto"/>
      <w:ind w:left="720"/>
      <w:contextualSpacing/>
    </w:pPr>
    <w:rPr>
      <w:rFonts w:ascii="Calibri" w:eastAsia="Calibri" w:hAnsi="Calibri"/>
      <w:sz w:val="22"/>
      <w:szCs w:val="22"/>
      <w:lang w:eastAsia="en-US"/>
    </w:rPr>
  </w:style>
  <w:style w:type="character" w:customStyle="1" w:styleId="hps">
    <w:name w:val="hps"/>
    <w:basedOn w:val="a0"/>
    <w:uiPriority w:val="99"/>
    <w:rsid w:val="001A02F9"/>
    <w:rPr>
      <w:rFonts w:cs="Times New Roman"/>
    </w:rPr>
  </w:style>
  <w:style w:type="character" w:styleId="a4">
    <w:name w:val="Hyperlink"/>
    <w:basedOn w:val="a0"/>
    <w:uiPriority w:val="99"/>
    <w:rsid w:val="001A02F9"/>
    <w:rPr>
      <w:rFonts w:cs="Times New Roman"/>
      <w:color w:val="0000FF"/>
      <w:u w:val="single"/>
    </w:rPr>
  </w:style>
  <w:style w:type="paragraph" w:styleId="a5">
    <w:name w:val="Title"/>
    <w:basedOn w:val="a"/>
    <w:link w:val="a6"/>
    <w:uiPriority w:val="99"/>
    <w:qFormat/>
    <w:rsid w:val="001A02F9"/>
    <w:pPr>
      <w:pBdr>
        <w:top w:val="single" w:sz="12" w:space="14" w:color="auto"/>
        <w:left w:val="single" w:sz="12" w:space="14" w:color="auto"/>
        <w:bottom w:val="single" w:sz="12" w:space="14" w:color="auto"/>
        <w:right w:val="single" w:sz="12" w:space="14" w:color="auto"/>
      </w:pBdr>
      <w:overflowPunct w:val="0"/>
      <w:autoSpaceDE w:val="0"/>
      <w:autoSpaceDN w:val="0"/>
      <w:adjustRightInd w:val="0"/>
      <w:jc w:val="center"/>
      <w:textAlignment w:val="baseline"/>
    </w:pPr>
    <w:rPr>
      <w:b/>
      <w:szCs w:val="20"/>
    </w:rPr>
  </w:style>
  <w:style w:type="character" w:customStyle="1" w:styleId="a6">
    <w:name w:val="Заголовок Знак"/>
    <w:basedOn w:val="a0"/>
    <w:link w:val="a5"/>
    <w:uiPriority w:val="99"/>
    <w:locked/>
    <w:rsid w:val="001A02F9"/>
    <w:rPr>
      <w:rFonts w:ascii="Times New Roman" w:hAnsi="Times New Roman" w:cs="Times New Roman"/>
      <w:b/>
      <w:sz w:val="20"/>
      <w:szCs w:val="20"/>
      <w:lang w:eastAsia="ru-RU"/>
    </w:rPr>
  </w:style>
  <w:style w:type="character" w:customStyle="1" w:styleId="abc">
    <w:name w:val="abc"/>
    <w:basedOn w:val="a0"/>
    <w:uiPriority w:val="99"/>
    <w:rsid w:val="001A02F9"/>
    <w:rPr>
      <w:rFonts w:cs="Times New Roman"/>
    </w:rPr>
  </w:style>
  <w:style w:type="character" w:customStyle="1" w:styleId="shorttext">
    <w:name w:val="short_text"/>
    <w:basedOn w:val="a0"/>
    <w:uiPriority w:val="99"/>
    <w:rsid w:val="001A02F9"/>
    <w:rPr>
      <w:rFonts w:cs="Times New Roman"/>
    </w:rPr>
  </w:style>
  <w:style w:type="character" w:customStyle="1" w:styleId="hpsalt-edited">
    <w:name w:val="hps alt-edited"/>
    <w:basedOn w:val="a0"/>
    <w:uiPriority w:val="99"/>
    <w:rsid w:val="001A02F9"/>
    <w:rPr>
      <w:rFonts w:cs="Times New Roman"/>
    </w:rPr>
  </w:style>
  <w:style w:type="character" w:styleId="a7">
    <w:name w:val="Emphasis"/>
    <w:basedOn w:val="a0"/>
    <w:uiPriority w:val="99"/>
    <w:qFormat/>
    <w:rsid w:val="001A02F9"/>
    <w:rPr>
      <w:rFonts w:cs="Times New Roman"/>
      <w:i/>
      <w:iCs/>
    </w:rPr>
  </w:style>
  <w:style w:type="paragraph" w:styleId="a8">
    <w:name w:val="Balloon Text"/>
    <w:basedOn w:val="a"/>
    <w:link w:val="a9"/>
    <w:uiPriority w:val="99"/>
    <w:semiHidden/>
    <w:rsid w:val="005F5062"/>
    <w:rPr>
      <w:rFonts w:ascii="Segoe UI" w:hAnsi="Segoe UI" w:cs="Segoe UI"/>
      <w:sz w:val="18"/>
      <w:szCs w:val="18"/>
    </w:rPr>
  </w:style>
  <w:style w:type="character" w:customStyle="1" w:styleId="a9">
    <w:name w:val="Текст выноски Знак"/>
    <w:basedOn w:val="a0"/>
    <w:link w:val="a8"/>
    <w:uiPriority w:val="99"/>
    <w:semiHidden/>
    <w:locked/>
    <w:rsid w:val="005F5062"/>
    <w:rPr>
      <w:rFonts w:ascii="Segoe UI" w:hAnsi="Segoe UI" w:cs="Segoe UI"/>
      <w:sz w:val="18"/>
      <w:szCs w:val="18"/>
      <w:lang w:val="de-DE" w:eastAsia="de-DE"/>
    </w:rPr>
  </w:style>
  <w:style w:type="paragraph" w:styleId="aa">
    <w:name w:val="footer"/>
    <w:basedOn w:val="a"/>
    <w:link w:val="ab"/>
    <w:uiPriority w:val="99"/>
    <w:rsid w:val="001F3583"/>
    <w:pPr>
      <w:tabs>
        <w:tab w:val="center" w:pos="4677"/>
        <w:tab w:val="right" w:pos="9355"/>
      </w:tabs>
    </w:pPr>
  </w:style>
  <w:style w:type="character" w:customStyle="1" w:styleId="ab">
    <w:name w:val="Нижний колонтитул Знак"/>
    <w:basedOn w:val="a0"/>
    <w:link w:val="aa"/>
    <w:uiPriority w:val="99"/>
    <w:rsid w:val="00A06B19"/>
    <w:rPr>
      <w:rFonts w:ascii="Times New Roman" w:eastAsia="Times New Roman" w:hAnsi="Times New Roman"/>
      <w:sz w:val="24"/>
      <w:szCs w:val="24"/>
      <w:lang w:val="de-DE" w:eastAsia="de-DE"/>
    </w:rPr>
  </w:style>
  <w:style w:type="character" w:styleId="ac">
    <w:name w:val="page number"/>
    <w:basedOn w:val="a0"/>
    <w:uiPriority w:val="99"/>
    <w:rsid w:val="001F3583"/>
    <w:rPr>
      <w:rFonts w:cs="Times New Roman"/>
    </w:rPr>
  </w:style>
  <w:style w:type="paragraph" w:styleId="ad">
    <w:name w:val="header"/>
    <w:basedOn w:val="a"/>
    <w:link w:val="ae"/>
    <w:uiPriority w:val="99"/>
    <w:rsid w:val="001F3583"/>
    <w:pPr>
      <w:tabs>
        <w:tab w:val="center" w:pos="4677"/>
        <w:tab w:val="right" w:pos="9355"/>
      </w:tabs>
    </w:pPr>
  </w:style>
  <w:style w:type="character" w:customStyle="1" w:styleId="ae">
    <w:name w:val="Верхний колонтитул Знак"/>
    <w:basedOn w:val="a0"/>
    <w:link w:val="ad"/>
    <w:uiPriority w:val="99"/>
    <w:semiHidden/>
    <w:rsid w:val="00A06B19"/>
    <w:rPr>
      <w:rFonts w:ascii="Times New Roman" w:eastAsia="Times New Roman" w:hAnsi="Times New Roman"/>
      <w:sz w:val="24"/>
      <w:szCs w:val="24"/>
      <w:lang w:val="de-DE" w:eastAsia="de-DE"/>
    </w:rPr>
  </w:style>
  <w:style w:type="character" w:styleId="af">
    <w:name w:val="annotation reference"/>
    <w:basedOn w:val="a0"/>
    <w:uiPriority w:val="99"/>
    <w:semiHidden/>
    <w:unhideWhenUsed/>
    <w:rsid w:val="007D110F"/>
    <w:rPr>
      <w:sz w:val="16"/>
      <w:szCs w:val="16"/>
    </w:rPr>
  </w:style>
  <w:style w:type="paragraph" w:styleId="af0">
    <w:name w:val="annotation text"/>
    <w:basedOn w:val="a"/>
    <w:link w:val="af1"/>
    <w:uiPriority w:val="99"/>
    <w:semiHidden/>
    <w:unhideWhenUsed/>
    <w:rsid w:val="007D110F"/>
    <w:rPr>
      <w:sz w:val="20"/>
      <w:szCs w:val="20"/>
    </w:rPr>
  </w:style>
  <w:style w:type="character" w:customStyle="1" w:styleId="af1">
    <w:name w:val="Текст примечания Знак"/>
    <w:basedOn w:val="a0"/>
    <w:link w:val="af0"/>
    <w:uiPriority w:val="99"/>
    <w:semiHidden/>
    <w:rsid w:val="007D110F"/>
    <w:rPr>
      <w:rFonts w:ascii="Times New Roman" w:eastAsia="Times New Roman" w:hAnsi="Times New Roman"/>
      <w:sz w:val="20"/>
      <w:szCs w:val="20"/>
    </w:rPr>
  </w:style>
  <w:style w:type="paragraph" w:styleId="af2">
    <w:name w:val="annotation subject"/>
    <w:basedOn w:val="af0"/>
    <w:next w:val="af0"/>
    <w:link w:val="af3"/>
    <w:uiPriority w:val="99"/>
    <w:semiHidden/>
    <w:unhideWhenUsed/>
    <w:rsid w:val="007D110F"/>
    <w:rPr>
      <w:b/>
      <w:bCs/>
    </w:rPr>
  </w:style>
  <w:style w:type="character" w:customStyle="1" w:styleId="af3">
    <w:name w:val="Тема примечания Знак"/>
    <w:basedOn w:val="af1"/>
    <w:link w:val="af2"/>
    <w:uiPriority w:val="99"/>
    <w:semiHidden/>
    <w:rsid w:val="007D110F"/>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87129">
      <w:bodyDiv w:val="1"/>
      <w:marLeft w:val="0"/>
      <w:marRight w:val="0"/>
      <w:marTop w:val="0"/>
      <w:marBottom w:val="0"/>
      <w:divBdr>
        <w:top w:val="none" w:sz="0" w:space="0" w:color="auto"/>
        <w:left w:val="none" w:sz="0" w:space="0" w:color="auto"/>
        <w:bottom w:val="none" w:sz="0" w:space="0" w:color="auto"/>
        <w:right w:val="none" w:sz="0" w:space="0" w:color="auto"/>
      </w:divBdr>
    </w:div>
    <w:div w:id="260916105">
      <w:bodyDiv w:val="1"/>
      <w:marLeft w:val="0"/>
      <w:marRight w:val="0"/>
      <w:marTop w:val="0"/>
      <w:marBottom w:val="0"/>
      <w:divBdr>
        <w:top w:val="none" w:sz="0" w:space="0" w:color="auto"/>
        <w:left w:val="none" w:sz="0" w:space="0" w:color="auto"/>
        <w:bottom w:val="none" w:sz="0" w:space="0" w:color="auto"/>
        <w:right w:val="none" w:sz="0" w:space="0" w:color="auto"/>
      </w:divBdr>
    </w:div>
    <w:div w:id="376781815">
      <w:bodyDiv w:val="1"/>
      <w:marLeft w:val="0"/>
      <w:marRight w:val="0"/>
      <w:marTop w:val="0"/>
      <w:marBottom w:val="0"/>
      <w:divBdr>
        <w:top w:val="none" w:sz="0" w:space="0" w:color="auto"/>
        <w:left w:val="none" w:sz="0" w:space="0" w:color="auto"/>
        <w:bottom w:val="none" w:sz="0" w:space="0" w:color="auto"/>
        <w:right w:val="none" w:sz="0" w:space="0" w:color="auto"/>
      </w:divBdr>
    </w:div>
    <w:div w:id="729235884">
      <w:bodyDiv w:val="1"/>
      <w:marLeft w:val="0"/>
      <w:marRight w:val="0"/>
      <w:marTop w:val="0"/>
      <w:marBottom w:val="0"/>
      <w:divBdr>
        <w:top w:val="none" w:sz="0" w:space="0" w:color="auto"/>
        <w:left w:val="none" w:sz="0" w:space="0" w:color="auto"/>
        <w:bottom w:val="none" w:sz="0" w:space="0" w:color="auto"/>
        <w:right w:val="none" w:sz="0" w:space="0" w:color="auto"/>
      </w:divBdr>
    </w:div>
    <w:div w:id="189696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1055;&#1086;&#1083;&#1100;&#1079;&#1086;&#1074;&#1072;&#1090;&#1077;&#1083;&#1100;\AppData\Local\Microsoft\Windows\Temporary%20Internet%20Files\Content.MSO\27FE4B13.xls" TargetMode="External"/><Relationship Id="rId18" Type="http://schemas.openxmlformats.org/officeDocument/2006/relationships/hyperlink" Target="file:///C:\Users\&#1055;&#1086;&#1083;&#1100;&#1079;&#1086;&#1074;&#1072;&#1090;&#1077;&#1083;&#1100;\AppData\Local\Microsoft\Windows\Temporary%20Internet%20Files\Content.MSO\27FE4B13.xls" TargetMode="External"/><Relationship Id="rId26" Type="http://schemas.openxmlformats.org/officeDocument/2006/relationships/hyperlink" Target="file:///C:\Users\&#1055;&#1086;&#1083;&#1100;&#1079;&#1086;&#1074;&#1072;&#1090;&#1077;&#1083;&#1100;\AppData\Local\Microsoft\Windows\Temporary%20Internet%20Files\Content.MSO\27FE4B13.xls" TargetMode="External"/><Relationship Id="rId39" Type="http://schemas.openxmlformats.org/officeDocument/2006/relationships/oleObject" Target="embeddings/oleObject7.bin"/><Relationship Id="rId21" Type="http://schemas.openxmlformats.org/officeDocument/2006/relationships/hyperlink" Target="file:///C:\Users\&#1055;&#1086;&#1083;&#1100;&#1079;&#1086;&#1074;&#1072;&#1090;&#1077;&#1083;&#1100;\AppData\Local\Microsoft\Windows\Temporary%20Internet%20Files\Content.MSO\27FE4B13.xls" TargetMode="External"/><Relationship Id="rId34" Type="http://schemas.openxmlformats.org/officeDocument/2006/relationships/oleObject" Target="embeddings/oleObject4.bin"/><Relationship Id="rId42" Type="http://schemas.openxmlformats.org/officeDocument/2006/relationships/image" Target="media/image8.wmf"/><Relationship Id="rId47" Type="http://schemas.openxmlformats.org/officeDocument/2006/relationships/oleObject" Target="embeddings/oleObject11.bin"/><Relationship Id="rId50" Type="http://schemas.openxmlformats.org/officeDocument/2006/relationships/image" Target="media/image12.wmf"/><Relationship Id="rId55" Type="http://schemas.openxmlformats.org/officeDocument/2006/relationships/image" Target="media/image14.wmf"/><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1055;&#1086;&#1083;&#1100;&#1079;&#1086;&#1074;&#1072;&#1090;&#1077;&#1083;&#1100;\AppData\Local\Microsoft\Windows\Temporary%20Internet%20Files\Content.MSO\27FE4B13.xls" TargetMode="External"/><Relationship Id="rId20" Type="http://schemas.openxmlformats.org/officeDocument/2006/relationships/hyperlink" Target="file:///C:\Users\&#1055;&#1086;&#1083;&#1100;&#1079;&#1086;&#1074;&#1072;&#1090;&#1077;&#1083;&#1100;\AppData\Local\Microsoft\Windows\Temporary%20Internet%20Files\Content.MSO\27FE4B13.xls" TargetMode="External"/><Relationship Id="rId29" Type="http://schemas.openxmlformats.org/officeDocument/2006/relationships/image" Target="media/image2.wmf"/><Relationship Id="rId41" Type="http://schemas.openxmlformats.org/officeDocument/2006/relationships/oleObject" Target="embeddings/oleObject8.bin"/><Relationship Id="rId54" Type="http://schemas.openxmlformats.org/officeDocument/2006/relationships/oleObject" Target="embeddings/oleObject15.bin"/><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5;&#1086;&#1083;&#1100;&#1079;&#1086;&#1074;&#1072;&#1090;&#1077;&#1083;&#1100;\AppData\Local\Microsoft\Windows\Temporary%20Internet%20Files\Content.MSO\27FE4B13.xls" TargetMode="External"/><Relationship Id="rId24" Type="http://schemas.openxmlformats.org/officeDocument/2006/relationships/hyperlink" Target="file:///C:\Users\&#1055;&#1086;&#1083;&#1100;&#1079;&#1086;&#1074;&#1072;&#1090;&#1077;&#1083;&#1100;\AppData\Local\Microsoft\Windows\Temporary%20Internet%20Files\Content.MSO\27FE4B13.xls" TargetMode="External"/><Relationship Id="rId32" Type="http://schemas.openxmlformats.org/officeDocument/2006/relationships/oleObject" Target="embeddings/oleObject3.bin"/><Relationship Id="rId37" Type="http://schemas.openxmlformats.org/officeDocument/2006/relationships/oleObject" Target="embeddings/oleObject6.bin"/><Relationship Id="rId40" Type="http://schemas.openxmlformats.org/officeDocument/2006/relationships/image" Target="media/image7.wmf"/><Relationship Id="rId45" Type="http://schemas.openxmlformats.org/officeDocument/2006/relationships/oleObject" Target="embeddings/oleObject10.bin"/><Relationship Id="rId53" Type="http://schemas.openxmlformats.org/officeDocument/2006/relationships/image" Target="media/image13.wmf"/><Relationship Id="rId58" Type="http://schemas.openxmlformats.org/officeDocument/2006/relationships/oleObject" Target="embeddings/oleObject17.bin"/><Relationship Id="rId5" Type="http://schemas.openxmlformats.org/officeDocument/2006/relationships/webSettings" Target="webSettings.xml"/><Relationship Id="rId15" Type="http://schemas.openxmlformats.org/officeDocument/2006/relationships/hyperlink" Target="file:///C:\Users\&#1055;&#1086;&#1083;&#1100;&#1079;&#1086;&#1074;&#1072;&#1090;&#1077;&#1083;&#1100;\AppData\Local\Microsoft\Windows\Temporary%20Internet%20Files\Content.MSO\27FE4B13.xls" TargetMode="External"/><Relationship Id="rId23" Type="http://schemas.openxmlformats.org/officeDocument/2006/relationships/hyperlink" Target="file:///C:\Users\&#1055;&#1086;&#1083;&#1100;&#1079;&#1086;&#1074;&#1072;&#1090;&#1077;&#1083;&#1100;\AppData\Local\Microsoft\Windows\Temporary%20Internet%20Files\Content.MSO\27FE4B13.xls" TargetMode="External"/><Relationship Id="rId28" Type="http://schemas.openxmlformats.org/officeDocument/2006/relationships/oleObject" Target="embeddings/oleObject1.bin"/><Relationship Id="rId36" Type="http://schemas.openxmlformats.org/officeDocument/2006/relationships/image" Target="media/image5.wmf"/><Relationship Id="rId49" Type="http://schemas.openxmlformats.org/officeDocument/2006/relationships/oleObject" Target="embeddings/oleObject12.bin"/><Relationship Id="rId57" Type="http://schemas.openxmlformats.org/officeDocument/2006/relationships/image" Target="media/image15.wmf"/><Relationship Id="rId61" Type="http://schemas.openxmlformats.org/officeDocument/2006/relationships/hyperlink" Target="mailto:251@uniim.ru" TargetMode="External"/><Relationship Id="rId10" Type="http://schemas.openxmlformats.org/officeDocument/2006/relationships/hyperlink" Target="file:///C:\Users\&#1055;&#1086;&#1083;&#1100;&#1079;&#1086;&#1074;&#1072;&#1090;&#1077;&#1083;&#1100;\AppData\Local\Microsoft\Windows\Temporary%20Internet%20Files\Content.MSO\27FE4B13.xls" TargetMode="External"/><Relationship Id="rId19" Type="http://schemas.openxmlformats.org/officeDocument/2006/relationships/hyperlink" Target="file:///C:\Users\&#1055;&#1086;&#1083;&#1100;&#1079;&#1086;&#1074;&#1072;&#1090;&#1077;&#1083;&#1100;\AppData\Local\Microsoft\Windows\Temporary%20Internet%20Files\Content.MSO\27FE4B13.xls" TargetMode="External"/><Relationship Id="rId31" Type="http://schemas.openxmlformats.org/officeDocument/2006/relationships/image" Target="media/image3.wmf"/><Relationship Id="rId44" Type="http://schemas.openxmlformats.org/officeDocument/2006/relationships/image" Target="media/image9.wmf"/><Relationship Id="rId52" Type="http://schemas.openxmlformats.org/officeDocument/2006/relationships/oleObject" Target="embeddings/oleObject14.bin"/><Relationship Id="rId60" Type="http://schemas.openxmlformats.org/officeDocument/2006/relationships/oleObject" Target="embeddings/oleObject19.bin"/><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1055;&#1086;&#1083;&#1100;&#1079;&#1086;&#1074;&#1072;&#1090;&#1077;&#1083;&#1100;\AppData\Local\Microsoft\Windows\Temporary%20Internet%20Files\Content.MSO\27FE4B13.xls" TargetMode="External"/><Relationship Id="rId14" Type="http://schemas.openxmlformats.org/officeDocument/2006/relationships/hyperlink" Target="file:///C:\Users\&#1055;&#1086;&#1083;&#1100;&#1079;&#1086;&#1074;&#1072;&#1090;&#1077;&#1083;&#1100;\AppData\Local\Microsoft\Windows\Temporary%20Internet%20Files\Content.MSO\27FE4B13.xls" TargetMode="External"/><Relationship Id="rId22" Type="http://schemas.openxmlformats.org/officeDocument/2006/relationships/hyperlink" Target="file:///C:\Users\&#1055;&#1086;&#1083;&#1100;&#1079;&#1086;&#1074;&#1072;&#1090;&#1077;&#1083;&#1100;\AppData\Local\Microsoft\Windows\Temporary%20Internet%20Files\Content.MSO\27FE4B13.xls" TargetMode="External"/><Relationship Id="rId27" Type="http://schemas.openxmlformats.org/officeDocument/2006/relationships/image" Target="media/image1.wmf"/><Relationship Id="rId30" Type="http://schemas.openxmlformats.org/officeDocument/2006/relationships/oleObject" Target="embeddings/oleObject2.bin"/><Relationship Id="rId35" Type="http://schemas.openxmlformats.org/officeDocument/2006/relationships/oleObject" Target="embeddings/oleObject5.bin"/><Relationship Id="rId43" Type="http://schemas.openxmlformats.org/officeDocument/2006/relationships/oleObject" Target="embeddings/oleObject9.bin"/><Relationship Id="rId48" Type="http://schemas.openxmlformats.org/officeDocument/2006/relationships/image" Target="media/image11.wmf"/><Relationship Id="rId56" Type="http://schemas.openxmlformats.org/officeDocument/2006/relationships/oleObject" Target="embeddings/oleObject16.bin"/><Relationship Id="rId64" Type="http://schemas.openxmlformats.org/officeDocument/2006/relationships/fontTable" Target="fontTable.xml"/><Relationship Id="rId8" Type="http://schemas.openxmlformats.org/officeDocument/2006/relationships/hyperlink" Target="file:///C:\Users\&#1055;&#1086;&#1083;&#1100;&#1079;&#1086;&#1074;&#1072;&#1090;&#1077;&#1083;&#1100;\AppData\Local\Microsoft\Windows\Temporary%20Internet%20Files\Content.MSO\27FE4B13.xls" TargetMode="External"/><Relationship Id="rId51" Type="http://schemas.openxmlformats.org/officeDocument/2006/relationships/oleObject" Target="embeddings/oleObject13.bin"/><Relationship Id="rId3" Type="http://schemas.openxmlformats.org/officeDocument/2006/relationships/styles" Target="styles.xml"/><Relationship Id="rId12" Type="http://schemas.openxmlformats.org/officeDocument/2006/relationships/hyperlink" Target="file:///C:\Users\&#1055;&#1086;&#1083;&#1100;&#1079;&#1086;&#1074;&#1072;&#1090;&#1077;&#1083;&#1100;\AppData\Local\Microsoft\Windows\Temporary%20Internet%20Files\Content.MSO\27FE4B13.xls" TargetMode="External"/><Relationship Id="rId17" Type="http://schemas.openxmlformats.org/officeDocument/2006/relationships/hyperlink" Target="file:///C:\Users\&#1055;&#1086;&#1083;&#1100;&#1079;&#1086;&#1074;&#1072;&#1090;&#1077;&#1083;&#1100;\AppData\Local\Microsoft\Windows\Temporary%20Internet%20Files\Content.MSO\27FE4B13.xls" TargetMode="External"/><Relationship Id="rId25" Type="http://schemas.openxmlformats.org/officeDocument/2006/relationships/hyperlink" Target="file:///C:\Users\&#1055;&#1086;&#1083;&#1100;&#1079;&#1086;&#1074;&#1072;&#1090;&#1077;&#1083;&#1100;\AppData\Local\Microsoft\Windows\Temporary%20Internet%20Files\Content.MSO\27FE4B13.xls" TargetMode="External"/><Relationship Id="rId33" Type="http://schemas.openxmlformats.org/officeDocument/2006/relationships/image" Target="media/image4.wmf"/><Relationship Id="rId38" Type="http://schemas.openxmlformats.org/officeDocument/2006/relationships/image" Target="media/image6.wmf"/><Relationship Id="rId46" Type="http://schemas.openxmlformats.org/officeDocument/2006/relationships/image" Target="media/image10.wmf"/><Relationship Id="rId59"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2D2D9-2C4C-40BF-9E5A-CD712B2D7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1471</Words>
  <Characters>11962</Characters>
  <Application>Microsoft Office Word</Application>
  <DocSecurity>4</DocSecurity>
  <Lines>99</Lines>
  <Paragraphs>26</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
      <vt:lpstr/>
    </vt:vector>
  </TitlesOfParts>
  <Company>BAM</Company>
  <LinksUpToDate>false</LinksUpToDate>
  <CharactersWithSpaces>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Крашенинина</dc:creator>
  <cp:lastModifiedBy>Собина Егор Павлович</cp:lastModifiedBy>
  <cp:revision>2</cp:revision>
  <cp:lastPrinted>2014-08-21T03:34:00Z</cp:lastPrinted>
  <dcterms:created xsi:type="dcterms:W3CDTF">2020-06-25T04:21:00Z</dcterms:created>
  <dcterms:modified xsi:type="dcterms:W3CDTF">2020-06-25T04:21:00Z</dcterms:modified>
</cp:coreProperties>
</file>